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ZuV 2012 — Ermittlung der Produktionsmenge</w:t>
      </w:r>
    </w:p>
    <w:p>
      <w:r>
        <w:rPr>
          <w:color w:val="555555"/>
          <w:sz w:val="18"/>
        </w:rPr>
        <w:t xml:space="preserve">Zuteilungsverordnung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Produktionsmengen sind nach den anerkannten Regeln der Technik mit dem höchsten erreichbaren Grad an Genauigkeit zu erheben und anzugeben. Ungenauigkeiten sind zu beziffern und zu belegen.</w:t>
      </w:r>
    </w:p>
    <w:p>
      <w:r>
        <w:t xml:space="preserve">(2) Soweit die Angaben nach Absatz 1 die vorherige Durchführung von Berechnungen voraussetzen, ist neben den geforderten Angaben im Zuteilungsantrag jeweils auch die angewandte Berechnungsmethode zu erläutern und die Ableitung der Angaben nachvollziehbar darzustellen.</w:t>
      </w:r>
    </w:p>
    <w:p>
      <w:r>
        <w:t xml:space="preserve">(3) Bei der Ermittlung der Produktionsmenge sind nur diejenigen Produktionsmengen zu berücksichtigen, die auf eine Oxidation eines Brennstoffs oder eine Umsetzung eines Rohstoffs in der Anlage zurückzuführen sind.</w:t>
      </w:r>
    </w:p>
    <w:p>
      <w:r>
        <w:t xml:space="preserve">(4) Bei Anlagen nach Anhang 1 Nr. VI des Treibhausgas-Emissionshandelsgesetzes vom 8. Juli 2004 (BGBl. I S. 1578), das zuletzt durch Artikel 9 des Gesetzes vom 11. August 2010 (BGBl. I S. 1163) geändert worden ist, kann zur Ermittlung der Produktionsmenge abweichend von Absatz 1 und § 2 Nr. 1 auf die eingesetzte Rohstoffmenge abgestellt werden.</w:t>
      </w:r>
    </w:p>
    <w:p>
      <w:r>
        <w:rPr>
          <w:color w:val="555555"/>
          <w:sz w:val="17"/>
        </w:rPr>
        <w:t xml:space="preserve">Zitiervorschlag: § 10 ZuV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https://recht.nulegal.eu/gesetze/ZuV%202012/10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