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ZuV 2007 — Messung der Kohlendioxid-Emissionen</w:t>
      </w:r>
    </w:p>
    <w:p>
      <w:r>
        <w:rPr>
          <w:color w:val="555555"/>
          <w:sz w:val="18"/>
        </w:rPr>
        <w:t xml:space="preserve">Zuteilungsverordnung 2007</w:t>
      </w:r>
    </w:p>
    <w:p>
      <w:r>
        <w:rPr>
          <w:color w:val="555555"/>
          <w:sz w:val="18"/>
        </w:rPr>
        <w:t xml:space="preserve">Stand: 10.06.2019 (konsolidierte Textfassung, kein amtliches Inkrafttretensdatum)</w:t>
      </w:r>
    </w:p>
    <w:p>
      <w:r>
        <w:t xml:space="preserve">(1) Abweichend von den Vorschriften der §§ 5 bis 7 können Kohlendioxid-Emissionen durch Messung direkt ermittelt werden, wenn diese Messung nachweislich ein genaueres Ergebnis bringt als die Emissionsermittlung über Aktivitätsraten, untere Heizwerte sowie Emissions- und Konversionsfaktoren oder über eine Bilanzierung des Kohlenstoffgehalts. Die Messung ist auch zulässig, soweit die Bestimmung der Kohlendioxid-Emissionen nach den Verfahren der §§ 5 bis 7 aus technischen Gründen nicht erfolgen kann oder zu einem unverhältnismäßigen Mehraufwand führen würde, wenn gewährleistet ist, dass die Messung ein hinreichend genaues Ergebnis bringt. Dabei müssen die direkt bestimmten Emissionen unmittelbar einer in den Anwendungsbereich des Treibhausgas-Emissionshandelsgesetzes vom 8. Juli 2004 (BGBl. I S. 1578), das zuletzt durch Artikel 9 des Gesetzes vom 11. August 2010 (BGBl. I S. 1163) geändert worden ist, fallenden Anlage zugeordnet werden können. Der Betreiber muss die Messungen anhand flankierender Emissionsberechnungen bestätigen.</w:t>
      </w:r>
    </w:p>
    <w:p>
      <w:r>
        <w:t xml:space="preserve">(2) Im Hinblick auf die für die direkte Ermittlung der Emissionen anzuwendenden Messverfahren gilt § 3 entsprechend.</w:t>
      </w:r>
    </w:p>
    <w:p>
      <w:r>
        <w:t xml:space="preserve">(3) Betreiber von Anlagen haben prozessbedingte Emissionen nach den Vorschriften des § 6 parallel zu ermitteln und anzugeben, sofern eine besondere Zuteilung nach § 13 des Zuteilungsgesetzes 2007 beantragt wird.</w:t>
      </w:r>
    </w:p>
    <w:p>
      <w:r>
        <w:t xml:space="preserve">(4) Für die Emissionsermittlung nach Absatz 1 muss der Zuteilungsantrag die nach Absatz 1 erforderlichen Angaben enthalten über</w:t>
      </w:r>
    </w:p>
    <w:p>
      <w:pPr>
        <w:ind w:left="420"/>
      </w:pPr>
      <w:r>
        <w:t xml:space="preserve">1. die Gründe für die bessere Eignung der Messung gegenüber den Verfahren der §§ 5 bis 7,</w:t>
      </w:r>
    </w:p>
    <w:p>
      <w:pPr>
        <w:ind w:left="420"/>
      </w:pPr>
      <w:r>
        <w:t xml:space="preserve">2. die Methode und die hinreichende Genauigkeit des Messverfahrens,</w:t>
      </w:r>
    </w:p>
    <w:p>
      <w:pPr>
        <w:ind w:left="420"/>
      </w:pPr>
      <w:r>
        <w:t xml:space="preserve">3. die Maßzahl der gesamten direkt ermittelten jährlichen Kohlendioxid-Emissionen in Tonnen,</w:t>
      </w:r>
    </w:p>
    <w:p>
      <w:pPr>
        <w:ind w:left="420"/>
      </w:pPr>
      <w:r>
        <w:t xml:space="preserve">4. im Fall des Absatzes 3 zusätzlich die nach § 6 ermittelten prozessbedingten Emissionen und</w:t>
      </w:r>
    </w:p>
    <w:p>
      <w:pPr>
        <w:ind w:left="420"/>
      </w:pPr>
      <w:r>
        <w:t xml:space="preserve">5. im Fall des Absatzes 1 Satz 2 die technische Unmöglichkeit oder den unverhältnismäßigen Mehraufwand einer Bestimmung nach den §§ 5 bis 7.</w:t>
      </w:r>
    </w:p>
    <w:p>
      <w:r>
        <w:rPr>
          <w:color w:val="555555"/>
          <w:sz w:val="17"/>
        </w:rPr>
        <w:t xml:space="preserve">Zitiervorschlag: § 9 ZuV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https://recht.nulegal.eu/gesetze/ZuV%202007/9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