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ZuV 2007 — Ermittlung der Emissionen auf Grundlage des Eigenverbrauchs</w:t>
      </w:r>
    </w:p>
    <w:p>
      <w:r>
        <w:rPr>
          <w:color w:val="555555"/>
          <w:sz w:val="18"/>
        </w:rPr>
        <w:t xml:space="preserve">Zuteilungsverordnung 2007</w:t>
      </w:r>
    </w:p>
    <w:p>
      <w:r>
        <w:rPr>
          <w:color w:val="555555"/>
          <w:sz w:val="18"/>
        </w:rPr>
        <w:t xml:space="preserve">Stand: 10.06.2019 (konsolidierte Textfassung, kein amtliches Inkrafttretensdatum)</w:t>
      </w:r>
    </w:p>
    <w:p>
      <w:r>
        <w:t xml:space="preserve">Die Emissionen einer einheitlichen Anlage im Sinne des § 25 des Treibhausgas-Emissionshandelsgesetzes vom 8. Juli 2004 (BGBl. I S. 1578), das zuletzt durch Artikel 9 des Gesetzes vom 11. August 2010 (BGBl. I S. 1163) geändert worden ist, können im Rahmen des Zuteilungsantrags gemeinsam ermittelt werden. Für einheitliche Anlagen zur Verarbeitung von Erdöl und Erdölerzeugnissen in Mineralöl- oder Schmierstoffraffinerien kann die Ermittlung der Emissionen nach den §§ 5 und 6 auf der Grundlage der Aktivitätsraten des im Rahmen der Mineralölsteuererhebung von den Inhabern von Mineralölherstellungsbetrieben nach § 4 Abs. 1 Nr. 1 des Mineralölsteuergesetzes für die Aufrechterhaltung des Betriebs verwendeten und von dem zuständigen Hauptzollamt anerkannten steuerfreien Mineralöls erfolgen. Dies gilt nur für Emissionen, die von dem durch die Zollsteuerbehörden anerkannten Eigenverbrauch erfasst werden.</w:t>
      </w:r>
    </w:p>
    <w:p>
      <w:r>
        <w:rPr>
          <w:color w:val="555555"/>
          <w:sz w:val="17"/>
        </w:rPr>
        <w:t xml:space="preserve">Zitiervorschlag: § 8 ZuV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https://recht.nulegal.eu/gesetze/ZuV%202007/8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