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ZuV 2007 — Begriffsbestimmungen</w:t>
      </w:r>
    </w:p>
    <w:p>
      <w:r>
        <w:rPr>
          <w:color w:val="555555"/>
          <w:sz w:val="18"/>
        </w:rPr>
        <w:t xml:space="preserve">Zuteilungsverordnung 2007</w:t>
      </w:r>
    </w:p>
    <w:p>
      <w:r>
        <w:rPr>
          <w:color w:val="555555"/>
          <w:sz w:val="18"/>
        </w:rPr>
        <w:t xml:space="preserve">Stand: 10.06.2019 (konsolidierte Textfassung, kein amtliches Inkrafttretensdatum)</w:t>
      </w:r>
    </w:p>
    <w:p>
      <w:r>
        <w:t xml:space="preserve">Im Sinne dieser Verordnung ist</w:t>
      </w:r>
    </w:p>
    <w:p>
      <w:pPr>
        <w:ind w:left="420"/>
      </w:pPr>
      <w:r>
        <w:t xml:space="preserve">1. Kapazität: die auf den Regelbetrieb bezogene, installierte Produktionsleistung pro Jahr; sofern sich aus den Anforderungen der Genehmigung der Anlage eine geringere maximale Produktionsleistung ergibt, so ist diese maßgeblich;</w:t>
      </w:r>
    </w:p>
    <w:p>
      <w:pPr>
        <w:ind w:left="420"/>
      </w:pPr>
      <w:r>
        <w:t xml:space="preserve">2. Auslastung: der Quotient aus der durchschnittlichen tatsächlichen Produktionsleistung und der Kapazität einer Anlage;</w:t>
      </w:r>
    </w:p>
    <w:p>
      <w:pPr>
        <w:ind w:left="420"/>
      </w:pPr>
      <w:r>
        <w:t xml:space="preserve">3. Inbetriebnahme: die erstmalige Aufnahme des Regelbetriebs; der Regelbetrieb beginnt zu dem Zeitpunkt, an dem die Anlage entsprechend dem Ablauf der Inbetriebsetzung nach Abschluss eines Probebetriebs erstmals die mit ihr bezweckte Funktion unter Normalbetriebsbedingungen aufnimmt und fortführen kann; die Sonderregelungen in § 10 Abs. 1 Satz 1 und § 11 Abs. 1 Satz 1 des Zuteilungsgesetzes 2007 bleiben unberührt;</w:t>
      </w:r>
    </w:p>
    <w:p>
      <w:pPr>
        <w:ind w:left="420"/>
      </w:pPr>
      <w:r>
        <w:t xml:space="preserve">4. Probebetrieb: der zeitweilige Betrieb einer Anlage zur Prüfung ihrer Betriebstüchtigkeit;</w:t>
      </w:r>
    </w:p>
    <w:p>
      <w:pPr>
        <w:ind w:left="420"/>
      </w:pPr>
      <w:r>
        <w:t xml:space="preserve">5. Aktivitätsrate: die eingesetzte Menge eines Stoffs pro Kalenderjahr, der zur Emission von Kohlendioxid führt;</w:t>
      </w:r>
    </w:p>
    <w:p>
      <w:pPr>
        <w:ind w:left="420"/>
      </w:pPr>
      <w:r>
        <w:t xml:space="preserve">6. unterer Heizwert: die Wärmemenge, die bei vollständiger Verbrennung einer definierten Menge Brennstoff entsteht, sofern der Wassergehalt des Brennstoffs und des Wassers, das bei der Verbrennung entsteht, sich in gasförmigem Zustand befinden, wobei die Wärmerückgewinnung durch die Kondensierung des Wasserdampfes im Abgas nicht mitgerechnet wird;</w:t>
      </w:r>
    </w:p>
    <w:p>
      <w:pPr>
        <w:ind w:left="420"/>
      </w:pPr>
      <w:r>
        <w:t xml:space="preserve">7. Emissionsfaktor: Quotient aus der bei der Handhabung eines Stoffs freigesetzten Menge nicht biogenen Kohlendioxids und der eingesetzten Menge dieses Stoffs. Dabei bezieht sich der Emissionsfaktor eines Brennstoffes auf den unteren Heizwert des Brennstoffes. Für den Zweck der Kohlenstoffbilanz entspricht der Emissionsfaktor auch dem Einbindungsfaktor;</w:t>
      </w:r>
    </w:p>
    <w:p>
      <w:pPr>
        <w:ind w:left="420"/>
      </w:pPr>
      <w:r>
        <w:t xml:space="preserve">8. biogene Kohlendioxid-Emissionen: Emissionen aus der Oxidation von nicht fossilem und biologisch abbaubarem, organischem Kohlenstoff zu Kohlendioxid;</w:t>
      </w:r>
    </w:p>
    <w:p>
      <w:pPr>
        <w:ind w:left="420"/>
      </w:pPr>
      <w:r>
        <w:t xml:space="preserve">9. Konversionsfaktor: Koeffizient, der den Grad der Umwandlung des in den Brennstoffen oder Rohstoffen enthaltenen Kohlenstoffs zu Kohlendioxid angibt. Bei vollständiger Umwandlung ist der Konversionsfaktor 1. Bei Verbrennungsprozessen entspricht der Konversionsfaktor dem Oxidationsfaktor; bei Nicht-Verbrennungsprozessen entspricht der Konversionsfaktor dem Umsetzungsfaktor;</w:t>
      </w:r>
    </w:p>
    <w:p>
      <w:pPr>
        <w:ind w:left="420"/>
      </w:pPr>
      <w:r>
        <w:t xml:space="preserve">10. Gichtgas: das bei der Roheisenerzeugung aus dem Hochofen an der Gicht (oberer Abschluss des Hochofens) austretende Gasgemisch aus ca. 23 Volumen-Prozent Kohlendioxid, ca. 23 Volumen-Prozent Kohlenmonoxid, ca. 49,5 Volumen-Prozent Stickstoff und ca. 4,5 Volumen-Prozent Wasserstoff;</w:t>
      </w:r>
    </w:p>
    <w:p>
      <w:pPr>
        <w:ind w:left="420"/>
      </w:pPr>
      <w:r>
        <w:t xml:space="preserve">11. Konvertergas: das bei der Rohstahlerzeugung nach dem Sauerstoffblasverfahren aus dem Konverter austretende Gasgemisch aus ca. 15 Volumen-Prozent Kohlendioxid, ca. 65 Volumen-Prozent Kohlenmonoxid, ca. 18 Volumen-Prozent Stickstoff und ca. 2 Volumen-Prozent Wasserstoff;</w:t>
      </w:r>
    </w:p>
    <w:p>
      <w:pPr>
        <w:ind w:left="420"/>
      </w:pPr>
      <w:r>
        <w:t xml:space="preserve">12. Kuppelgas: als Nebenprodukt bei der Erzeugung von Grundstoffen entstehendes, brennbares Prozessgas, z. B. Gichtgas und Konvertergas.</w:t>
      </w:r>
    </w:p>
    <w:p>
      <w:r>
        <w:rPr>
          <w:color w:val="555555"/>
          <w:sz w:val="17"/>
        </w:rPr>
        <w:t xml:space="preserve">Zitiervorschlag: § 2 ZuV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https://recht.nulegal.eu/gesetze/ZuV%202007/2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