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ZuV 2007 — Inkrafttreten</w:t>
      </w:r>
    </w:p>
    <w:p>
      <w:r>
        <w:rPr>
          <w:color w:val="555555"/>
          <w:sz w:val="18"/>
        </w:rPr>
        <w:t xml:space="preserve">Zuteilungsverordnung 2007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Tage nach der Verkündung in Kraft.</w:t>
      </w:r>
    </w:p>
    <w:p>
      <w:r>
        <w:rPr>
          <w:color w:val="555555"/>
          <w:sz w:val="17"/>
        </w:rPr>
        <w:t xml:space="preserve">Zitiervorschlag: § 16 ZuV 2007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https://recht.nulegal.eu/gesetze/ZuV%202007/16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