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ZuV 2007 — Anwendungsbereich und Zweck</w:t>
      </w:r>
    </w:p>
    <w:p>
      <w:r>
        <w:rPr>
          <w:color w:val="555555"/>
          <w:sz w:val="18"/>
        </w:rPr>
        <w:t xml:space="preserve">Zuteilungsverordnung 2007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innerhalb des Anwendungsbereichs des Treibhausgas-Emissionshandelsgesetzes vom 8. Juli 2004 (BGBl. I S. 1578), das zuletzt durch Artikel 9 des Gesetzes vom 11. August 2010 (BGBl. I S. 1163) geändert worden ist. Sie dient der näheren Bestimmung der Berechnung der Zuteilung von Berechtigungen zur Emission von Treibhausgasen, der im Zuteilungsverfahren nach § 10 Abs. 1 des Treibhausgas-Emissionshandelsgesetzes vom 8. Juli 2004 (BGBl. I S. 1578), das zuletzt durch Artikel 9 des Gesetzes vom 11. August 2010 (BGBl. I S. 1163) geändert worden ist, zu fordernden Angaben und der Art der beizubringenden Nachweise sowie deren Überprüfung.</w:t>
      </w:r>
    </w:p>
    <w:p>
      <w:r>
        <w:rPr>
          <w:color w:val="555555"/>
          <w:sz w:val="17"/>
        </w:rPr>
        <w:t xml:space="preserve">Zitiervorschlag: § 1 ZuV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https://recht.nulegal.eu/gesetze/ZuV%202007/1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