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ZuSozV (Brandenburg) — Sonderzuständigkeiten</w:t>
      </w:r>
    </w:p>
    <w:p>
      <w:r>
        <w:rPr>
          <w:color w:val="555555"/>
          <w:sz w:val="18"/>
        </w:rPr>
        <w:t xml:space="preserve">Verordnung über Zuständigkeiten im Bereich der Sozialgerichtsbarkeit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Präsidentin oder dem Präsidenten des Brandenburgischen Oberlandesgerichts werden für die Richterinnen, Richter, Beamtinnen und Beamten des Landessozialgerichts Berlin-Brandenburg und der Sozialgerichte des Landes Brandenburg die folgenden, der obersten Dienstbehörde zustehenden Befugnisse in Unfallfürsorgeangelegenheiten übertragen:</w:t>
      </w:r>
    </w:p>
    <w:p>
      <w:r>
        <w:t xml:space="preserve">Anerkennung als Dienstunfall und Gewährung der Unfallfürsorge nach § 47 Absatz 3 Satz 3 des Brandenburgischen Beamtenversorgungsgesetzes,</w:t>
      </w:r>
    </w:p>
    <w:p>
      <w:r>
        <w:t xml:space="preserve">Versagung von Unfallfürsorgeleistungen nach § 48 Absatz 2 Satz 1 des Brandenburgischen Beamtenversorgungsgesetzes,</w:t>
      </w:r>
    </w:p>
    <w:p>
      <w:r>
        <w:t xml:space="preserve">Anordnung der ärztlichen oder psychologischen Untersuchung oder Beobachtung und der Erteilung von für die Gewährung der Unfallfürsorge erforderlichen Auskünften nach § 4 Nummer 4, § 9 Absatz 3 Satz 1 des Brandenburgischen Beamtenversorgungsgesetzes sowie Weitergabe von Erkenntnissen und Beweismitteln an die mit der Begutachtung beauftragten Person nach § 4 Nummer 4, § 9 Absatz 3 Satz 2 des Brandenburgischen Beamtenversorgungsgesetzes.</w:t>
      </w:r>
    </w:p>
    <w:p>
      <w:r>
        <w:t xml:space="preserve">(2) Die Präsidentin oder der Präsident des Brandenburgischen Oberlandesgerichts ist für die Richterinnen, Richter, Beamtinnen und Beamten des Landessozialgerichts Berlin-Brandenburg und der Sozialgerichte des Landes Brandenburg für folgende Entscheidungen zuständig:</w:t>
      </w:r>
    </w:p>
    <w:p>
      <w:r>
        <w:t xml:space="preserve">Durchsetzung übergegangener Schadenersatzansprüche aus Dienstunfällen nach § 67 des Landesbeamtengesetzes in Verbindung mit § 10 Absatz 1 des Brandenburgischen Richtergesetzes,</w:t>
      </w:r>
    </w:p>
    <w:p>
      <w:r>
        <w:t xml:space="preserve">Gewährung (Berechnung und Zahlbarmachung) von Umzugskostenvergütung nach § 2 Absatz 2 Satz 1 des Bundesumzugskostengesetzes,</w:t>
      </w:r>
    </w:p>
    <w:p>
      <w:r>
        <w:t xml:space="preserve">Bewilligung von Trennungsgeld einschließlich der Entscheidungen nach § 4 Absatz 5 der Trennungsgeldverordnung in Verbindung mit § 63 Absatz 1 Satz 1 des Landesbeamtengesetzes und § 10 Absatz 1 des Brandenburgischen Richtergesetzes und der weiteren Nebenentscheidungen zu Umfang, Dauer und Höhe des Trennungsgeldes, soweit diese nicht der obersten Dienstbehörde vorbehalten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ZuSozV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https://recht.nulegal.eu/gesetze/ZuSozV/4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