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ZuPakBbgG (Brandenburg) — Befristung</w:t>
      </w:r>
    </w:p>
    <w:p>
      <w:r>
        <w:rPr>
          <w:color w:val="555555"/>
          <w:sz w:val="18"/>
        </w:rPr>
        <w:t xml:space="preserve">Zukunftspaket-Brandenburg-Errichtungsgesetz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Finanzierungen für Maßnahmen nach § 6 sind nur in den im Länder-und-Kommunal-Infrastrukturfinanzierungsgesetz sowie in der dazu zwischen Bund und Ländern abgeschlossenen Verwaltungsvereinbarung genannten Fristen zulässig.</w:t>
      </w:r>
    </w:p>
    <w:p>
      <w:r>
        <w:t xml:space="preserve">(2) Das Sondervermögen ist bis zum 31. Dezember 2050 befristet.</w:t>
      </w:r>
    </w:p>
    <w:p>
      <w:r>
        <w:t xml:space="preserve">(3) Die Auskehrung eines Restbetrages erfolgt im Fall von noch bestehenden Ansprüchen an den Bundeshaushalt, ansonsten an den Landeshaushalt.</w:t>
      </w:r>
    </w:p>
    <w:p>
      <w:r>
        <w:rPr>
          <w:color w:val="555555"/>
          <w:sz w:val="17"/>
        </w:rPr>
        <w:t xml:space="preserve">Zitiervorschlag: § 9 ZuPakBbgG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https://recht.nulegal.eu/gesetze/ZuPakBbgG/9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