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ZuPakBbgG (Brandenburg) — Stellung im Rechtsverkehr</w:t>
      </w:r>
    </w:p>
    <w:p>
      <w:r>
        <w:rPr>
          <w:color w:val="555555"/>
          <w:sz w:val="18"/>
        </w:rPr>
        <w:t xml:space="preserve">Zukunftspaket-Brandenburg-Errichtungsgesetz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Sondervermögen ist nicht rechtsfähig. Es kann unter seinem Namen im Rechtsverkehr handeln, klagen und verklagt werden.</w:t>
      </w:r>
    </w:p>
    <w:p>
      <w:r>
        <w:t xml:space="preserve">(2) Der allgemeine Gerichtsstand des Sondervermögens ist Potsdam.</w:t>
      </w:r>
    </w:p>
    <w:p>
      <w:r>
        <w:t xml:space="preserve">(3) Das Sondervermögen ist vom übrigen Vermögen sowie von den Rechten und Verbindlichkeiten des Landes getrennt zu halten.</w:t>
      </w:r>
    </w:p>
    <w:p>
      <w:r>
        <w:rPr>
          <w:color w:val="555555"/>
          <w:sz w:val="17"/>
        </w:rPr>
        <w:t xml:space="preserve">Zitiervorschlag: § 3 ZuPakBbgG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https://recht.nulegal.eu/gesetze/ZuPakBbgG/3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