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ZuPakBbgG (Brandenburg) — Inkrafttreten, Außerkrafttreten</w:t>
      </w:r>
    </w:p>
    <w:p>
      <w:r>
        <w:rPr>
          <w:color w:val="555555"/>
          <w:sz w:val="18"/>
        </w:rPr>
        <w:t xml:space="preserve">Zukunftspaket-Brandenburg-Errichtungsgesetz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mit Wirkung vom 1. Januar 2025 in Kraft und mit Ablauf des 31. Dezember 2050 außer Kraft.</w:t>
      </w:r>
    </w:p>
    <w:p>
      <w:r>
        <w:t xml:space="preserve">Potsdam, den 18. Dezember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10 ZuPakBbgG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https://recht.nulegal.eu/gesetze/ZuPakBbgG/10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