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ZuPakBbg-DV (Brandenburg) — Inkrafttreten, Außerkrafttreten</w:t>
      </w:r>
    </w:p>
    <w:p>
      <w:r>
        <w:rPr>
          <w:color w:val="555555"/>
          <w:sz w:val="18"/>
        </w:rPr>
        <w:t xml:space="preserve">Zukunftspaket-Brandenburg-Durchführungsverordnung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Wirkung vom 1. Januar 2025 in Kraft und mit Ablauf des 31. Dezember 2050 außer Kraft.</w:t>
      </w:r>
    </w:p>
    <w:p>
      <w:r>
        <w:t xml:space="preserve">Potsdam, den 3. März 2026</w:t>
      </w:r>
    </w:p>
    <w:p>
      <w:r>
        <w:t xml:space="preserve">Der Minister der Finanzen und für Europa</w:t>
      </w:r>
    </w:p>
    <w:p>
      <w:r>
        <w:t xml:space="preserve">Robert Crumbach</w:t>
      </w:r>
    </w:p>
    <w:p>
      <w:r>
        <w:rPr>
          <w:color w:val="555555"/>
          <w:sz w:val="17"/>
        </w:rPr>
        <w:t xml:space="preserve">Zitiervorschlag: § 5 ZuPakBbg-DV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https://recht.nulegal.eu/gesetze/ZuPakBbg-DV/5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