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ZuPakBbg-DV (Brandenburg) — Geltungsbereich</w:t>
      </w:r>
    </w:p>
    <w:p>
      <w:r>
        <w:rPr>
          <w:color w:val="555555"/>
          <w:sz w:val="18"/>
        </w:rPr>
        <w:t xml:space="preserve">Zukunftspaket-Brandenburg-Durchführungsverordnung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regelt für die Gemeinden und Gemeindeverbände die Durchführung des Mittelabrufverfahrens für die gemäß § 6 Absatz 4 des Zukunftspaket-Brandenburg-Errichtungsgesetzes zur Verfügung stehenden Mittel, die Mittelumschichtung und das Rückforderungsverfahren.</w:t>
      </w:r>
    </w:p>
    <w:p>
      <w:r>
        <w:rPr>
          <w:color w:val="555555"/>
          <w:sz w:val="17"/>
        </w:rPr>
        <w:t xml:space="preserve">Zitiervorschlag: § 1 ZuPakBbg-DV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https://recht.nulegal.eu/gesetze/ZuPakBbg-DV/1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