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ZuLaFoGeVO (Sachsen) — Sachliche Zuständigkeit des Staatsbetriebes Sachsenforst</w:t>
      </w:r>
    </w:p>
    <w:p>
      <w:r>
        <w:rPr>
          <w:color w:val="555555"/>
          <w:sz w:val="18"/>
        </w:rPr>
        <w:t xml:space="preserve">Zuständigkeitsverordnung Landwirtschaft/Forsten/Gentechnik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Staatsbetrieb Sachsenforst ist zuständige Landesbehörde oder Behörde im Sinne</w:t>
      </w:r>
    </w:p>
    <w:p>
      <w:r>
        <w:t xml:space="preserve">1. des § 1 Absatz 5 Satz 2, § 9 Absatz 1, 2 und 3 Satz 1 des Forstschäden-Ausgleichsgesetzes in der Fassung der Bekanntmachung vom 26. August 1985 (BGBl. I S. 1756), das zuletzt durch Artikel 111 des Gesetzes vom 10. August 2021 (BGBl. I S. 3436) geändert worden ist,</w:t>
      </w:r>
    </w:p>
    <w:p>
      <w:r>
        <w:t xml:space="preserve">2. des § 59 Absatz 2 Nummer 1 des Pflanzenschutzgesetzes vom 6. Februar 2012 (BGBl. I S. 148, 1281), das zuletzt durch Artikel 3 des Gesetzes vom 18. August 2021 (BGBl. I S. 3908) geändert worden ist, ausgenommen die Überwachung von Einrichtungen, für den Staatswald und des § 59 Absatz 2 Nummer 4 und 5 des Pflanzenschutzgesetzes für den Bereich der Forstwirtschaft.</w:t>
      </w:r>
    </w:p>
    <w:p>
      <w:r>
        <w:rPr>
          <w:color w:val="555555"/>
          <w:sz w:val="17"/>
        </w:rPr>
        <w:t xml:space="preserve">Zitiervorschlag: § 3 ZuLaFoGeVO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https://recht.nulegal.eu/gesetze/ZuLaFoGeVO/3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