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ZuKostMRVVO (Sachsen)</w:t>
      </w:r>
    </w:p>
    <w:p>
      <w:r>
        <w:rPr>
          <w:color w:val="555555"/>
          <w:sz w:val="18"/>
        </w:rPr>
        <w:t xml:space="preserve">Verordnung der Sächsischen Staatsregierung über die Zuständigkeit für die Erhebung der Kosten der Unterbringung im Maßregelvollzug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138 Abs. 2 Satz 3 Halbsatz 2 des Gesetzes über den Vollzug der Freiheitsstrafe und der freiheitsentziehenden Maßregeln der Besserung und Sicherung ( Strafvollzugsgesetz – StVollzG ) vom 16. März 1976 (BGBl. I S. 581, 2088, 1977 I S. 436), das zuletzt durch Gesetz vom 23. März 2005 (BGBl. I S. 930) geändert worden ist, wird verordnet:</w:t>
      </w:r>
    </w:p>
    <w:p>
      <w:r>
        <w:rPr>
          <w:color w:val="555555"/>
          <w:sz w:val="17"/>
        </w:rPr>
        <w:t xml:space="preserve">Zitiervorschlag: Eingangsformel ZuKostMRVVO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https://recht.nulegal.eu/gesetze/ZuKostMRVVO/eingangsformel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