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ZuInvG — Förderquote und Bewirtschaftung</w:t>
      </w:r>
    </w:p>
    <w:p>
      <w:r>
        <w:rPr>
          <w:color w:val="555555"/>
          <w:sz w:val="18"/>
        </w:rPr>
        <w:t xml:space="preserve">Zukunftsinvestitionsgesetz</w:t>
      </w:r>
    </w:p>
    <w:p>
      <w:r>
        <w:rPr>
          <w:color w:val="555555"/>
          <w:sz w:val="18"/>
        </w:rPr>
        <w:t xml:space="preserve">Historische Fassung: Stand 10.06.2019 bis 10.12.2020. Dies ist nicht die aktuelle Fassung.</w:t>
      </w:r>
    </w:p>
    <w:p>
      <w:r>
        <w:t xml:space="preserve">(1) Der Bund beteiligt sich mit 75 Prozent, die Länder einschließlich Kommunen beteiligen sich mit 25 Prozent am Gesamtvolumen des öffentlichen Finanzierungsanteils der förderfähigen Kosten eines Landes. Dieses Beteiligungsverhältnis ist für den Gesamtzeitraum sicherzustellen und soll auch jeweils in den Jahren 2009, 2010 und 2011 erreicht werden. Die Länder können abweichend von Satz 1 bestimmen, dass der Anteil des Bundes weniger als der in Satz 1 festgelegte Prozentsatz beträgt.</w:t>
      </w:r>
    </w:p>
    <w:p>
      <w:r>
        <w:t xml:space="preserve">(2) Der Bund stellt die Finanzhilfen den Ländern zur eigenen Bewirtschaftung zur Verfügung. Die zuständigen Stellen der Länder sind ermächtigt, die Auszahlung der Bundesmittel anzuordnen, sobald sie zur anteiligen Begleichung erforderlicher Zahlungen benötigt werden. Die Länder leiten die Finanzhilfen des Bundes unverzüglich an die Letztempfänger weiter.</w:t>
      </w:r>
    </w:p>
    <w:p>
      <w:r>
        <w:rPr>
          <w:color w:val="555555"/>
          <w:sz w:val="17"/>
        </w:rPr>
        <w:t xml:space="preserve">Zitiervorschlag: § 6 ZuInvG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https://recht.nulegal.eu/gesetze/ZuInvG/6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