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ZuInvG — Doppelförderung</w:t>
      </w:r>
    </w:p>
    <w:p>
      <w:r>
        <w:rPr>
          <w:color w:val="555555"/>
          <w:sz w:val="18"/>
        </w:rPr>
        <w:t xml:space="preserve">Zukunftsinvestitionsgesetz</w:t>
      </w:r>
    </w:p>
    <w:p>
      <w:r>
        <w:rPr>
          <w:color w:val="555555"/>
          <w:sz w:val="18"/>
        </w:rPr>
        <w:t xml:space="preserve">Historische Fassung: Stand 10.06.2019 bis 10.12.2020. Dies ist nicht die aktuelle Fassung.</w:t>
      </w:r>
    </w:p>
    <w:p>
      <w:r>
        <w:t xml:space="preserve">(1) Für Investitionen, die nach anderen Gesetzen und Verwaltungsvereinbarungen als Anteilsfinanzierung nach Artikel 104b des Grundgesetzes und nach dem bis zum 31. August 2006 gültigen Artikel 104a Absatz 4 des Grundgesetzes oder nach Artikel 91a und nach Artikel 91b des Grundgesetzes oder mit KfW-Darlehensprogrammen mit Ausnahme der KfW-Programme „Investitionsoffensive Infrastruktur“ durch den Bund gefördert werden, können nicht gleichzeitig Finanzhilfen nach diesem Gesetz gewährt werden.</w:t>
      </w:r>
    </w:p>
    <w:p>
      <w:r>
        <w:t xml:space="preserve">(2) Investive Begleit- und Folgemaßnahmen werden nur gefördert, wenn sie in Zusammenhang mit den Maßnahmen nach § 3 Absatz 1 stehen.</w:t>
      </w:r>
    </w:p>
    <w:p>
      <w:r>
        <w:t xml:space="preserve">(3) Investitionen nach § 3 Absatz 1 sind nur zulässig, wenn deren längerfristige Nutzung auch unter Berücksichtigung der absehbaren demografischen Veränderungen vorgesehen ist.</w:t>
      </w:r>
    </w:p>
    <w:p>
      <w:r>
        <w:rPr>
          <w:color w:val="555555"/>
          <w:sz w:val="17"/>
        </w:rPr>
        <w:t xml:space="preserve">Zitiervorschlag: § 4 ZuInvG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https://recht.nulegal.eu/gesetze/ZuInvG/4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