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ZuInvG — Förderziel und Fördervolumen</w:t>
      </w:r>
    </w:p>
    <w:p>
      <w:r>
        <w:rPr>
          <w:color w:val="555555"/>
          <w:sz w:val="18"/>
        </w:rPr>
        <w:t xml:space="preserve">Zukunftsinvestitionsgesetz</w:t>
      </w:r>
    </w:p>
    <w:p>
      <w:r>
        <w:rPr>
          <w:color w:val="555555"/>
          <w:sz w:val="18"/>
        </w:rPr>
        <w:t xml:space="preserve">Historische Fassung: Stand 10.06.2019 bis 10.12.2020. Dies ist nicht die aktuelle Fassung.</w:t>
      </w:r>
    </w:p>
    <w:p>
      <w:r>
        <w:t xml:space="preserve">(1) Zur Abwehr einer Störung des gesamtwirtschaftlichen Gleichgewichts unterstützt der Bund zusätzliche Investitionen der Kommunen und der Länder. Hierzu gewährt der Bund gemäß Sinn und Zweck von § 6 Absatz 2 des Gesetzes zur Förderung der Stabilität und des Wachstums der Wirtschaft aus dem Sondervermögen „Investitions- und Tilgungsfonds“ den Ländern Finanzhilfen für besonders bedeutsame Investitionen der Länder und Gemeinden (Gemeindeverbände) nach Artikel 104b des Grundgesetzes in Höhe von insgesamt 10 Milliarden Euro.</w:t>
      </w:r>
    </w:p>
    <w:p>
      <w:r>
        <w:t xml:space="preserve">(2) Die Mittel sollen mindestens zur Hälfte des Betrages nach Absatz 1 bis zum 31. Dezember 2009 abgerufen werden.</w:t>
      </w:r>
    </w:p>
    <w:p>
      <w:r>
        <w:t xml:space="preserve">(3) Die Mittel sollen überwiegend für Investitionen der Kommunen eingesetzt werden. Die Länder sind aufgefordert, dafür Sorge zu tragen, dass auch finanzschwache Kommunen Zugang zu den Finanzhilfen erhalten.</w:t>
      </w:r>
    </w:p>
    <w:p>
      <w:r>
        <w:rPr>
          <w:color w:val="555555"/>
          <w:sz w:val="17"/>
        </w:rPr>
        <w:t xml:space="preserve">Zitiervorschlag: § 1 ZuInvG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https://recht.nulegal.eu/gesetze/ZuInvG/1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