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Anhang 3 ZuG 2012 — (zu § 7 Abs. 1 und 2, § 8 Abs. 1 und § 9 Abs. 2 Satz 1)</w:t>
      </w:r>
    </w:p>
    <w:p>
      <w:r>
        <w:rPr>
          <w:color w:val="555555"/>
          <w:sz w:val="18"/>
        </w:rPr>
        <w:t xml:space="preserve">Zuteilungsgesetz 2012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 Fundstelle: BGBl. I 2007, 1799 ) Teil A Produktbezogene Emissionswerte</w:t>
      </w:r>
    </w:p>
    <w:p>
      <w:pPr>
        <w:ind w:left="420"/>
      </w:pPr>
      <w:r>
        <w:t xml:space="preserve">I) Anlagen zur Stromproduktion, zur Erzeugung von Wellenarbeit und zur Erzeugung von Wärme (thermische Energie) Als Emissionswert je erzeugter Produkteinheit gilt</w:t>
      </w:r>
    </w:p>
    <w:p>
      <w:pPr>
        <w:ind w:left="780"/>
      </w:pPr>
      <w:r>
        <w:t xml:space="preserve">1. bei Anlagen zur Stromproduktion</w:t>
      </w:r>
    </w:p>
    <w:p>
      <w:pPr>
        <w:ind w:left="1140"/>
      </w:pPr>
      <w:r>
        <w:t xml:space="preserve">a) 365 Gramm Kohlendioxid je Kilowattstunde Nettostromerzeugung, sofern gasförmige Brennstoffe verwendet werden können und in der Rechtsverordnung nach § 13 nichts anderes bestimmt ist; andernfalls</w:t>
      </w:r>
    </w:p>
    <w:p>
      <w:pPr>
        <w:ind w:left="1140"/>
      </w:pPr>
      <w:r>
        <w:t xml:space="preserve">b) 750 Gramm Kohlendioxid je Kilowattstunde Nettostromerzeugung;</w:t>
      </w:r>
    </w:p>
    <w:p>
      <w:pPr>
        <w:ind w:left="780"/>
      </w:pPr>
      <w:r>
        <w:t xml:space="preserve">2. bei Anlagen zur Erzeugung von Wellenarbeit einheitlich 530 Gramm Kohlendioxid je Kilowattstunde;</w:t>
      </w:r>
    </w:p>
    <w:p>
      <w:pPr>
        <w:ind w:left="780"/>
      </w:pPr>
      <w:r>
        <w:t xml:space="preserve">3. bei Anlagen zur Erzeugung von Wärme</w:t>
      </w:r>
    </w:p>
    <w:p>
      <w:pPr>
        <w:ind w:left="1140"/>
      </w:pPr>
      <w:r>
        <w:t xml:space="preserve">a) 225 Gramm Kohlendioxid je Kilowattstunde, sofern gasförmige Brennstoffe verwendet werden können und in der Rechtsverordnung nach § 13 nichts anderes bestimmt ist; andernfalls</w:t>
      </w:r>
    </w:p>
    <w:p>
      <w:pPr>
        <w:ind w:left="1140"/>
      </w:pPr>
      <w:r>
        <w:t xml:space="preserve">b) 345 Gramm Kohlendioxid je Kilowattstunde;</w:t>
      </w:r>
    </w:p>
    <w:p>
      <w:pPr>
        <w:ind w:left="420"/>
      </w:pPr>
      <w:r>
        <w:t xml:space="preserve">II) Neuanlagen zur Herstellung von Zement und zur Herstellung von Glas Als Emissionswert je Produkteinheit gilt</w:t>
      </w:r>
    </w:p>
    <w:p>
      <w:pPr>
        <w:ind w:left="780"/>
      </w:pPr>
      <w:r>
        <w:t xml:space="preserve">1. bei Anlagen zur Herstellung von Zement oder Zementklinkern in Produktionsanlagen mit</w:t>
      </w:r>
    </w:p>
    <w:p>
      <w:pPr>
        <w:ind w:left="1140"/>
      </w:pPr>
      <w:r>
        <w:t xml:space="preserve">a) drei Zyklonen 845 Gramm Kohlendioxid je erzeugtem Kilogramm Zementklinker,</w:t>
      </w:r>
    </w:p>
    <w:p>
      <w:pPr>
        <w:ind w:left="1140"/>
      </w:pPr>
      <w:r>
        <w:t xml:space="preserve">b) vier Zyklonen 815 Gramm Kohlendioxid je erzeugtem Kilogramm Zementklinker,</w:t>
      </w:r>
    </w:p>
    <w:p>
      <w:pPr>
        <w:ind w:left="1140"/>
      </w:pPr>
      <w:r>
        <w:t xml:space="preserve">c) fünf oder sechs Zyklonen 805 Gramm Kohlendioxid je erzeugtem Kilogramm Zementklinker;</w:t>
      </w:r>
    </w:p>
    <w:p>
      <w:pPr>
        <w:ind w:left="780"/>
      </w:pPr>
      <w:r>
        <w:t xml:space="preserve">2. bei Anlagen zur Herstellung von Glas</w:t>
      </w:r>
    </w:p>
    <w:p>
      <w:pPr>
        <w:ind w:left="1140"/>
      </w:pPr>
      <w:r>
        <w:t xml:space="preserve">a) für Behälterglas 330 Gramm Kohlendioxid je erzeugtem Kilogramm Glas und</w:t>
      </w:r>
    </w:p>
    <w:p>
      <w:pPr>
        <w:ind w:left="1140"/>
      </w:pPr>
      <w:r>
        <w:t xml:space="preserve">b) für Flachglas 670 Gramm Kohlendioxid je erzeugtem Kilogramm Glas.</w:t>
      </w:r>
    </w:p>
    <w:p>
      <w:pPr>
        <w:ind w:left="420"/>
      </w:pPr>
      <w:r>
        <w:t xml:space="preserve">III) Neuanlagen zur Herstellung von Keramik Als energiebedingter Emissionswert je Produkteinheit bei Anlagen zur Herstellung von Keramik gilt</w:t>
      </w:r>
    </w:p>
    <w:p>
      <w:pPr>
        <w:ind w:left="780"/>
      </w:pPr>
      <w:r>
        <w:t xml:space="preserve">a) für Vormauerziegel 115 Gramm Kohlendioxid je erzeugtem Kilogramm Ziegel,</w:t>
      </w:r>
    </w:p>
    <w:p>
      <w:pPr>
        <w:ind w:left="780"/>
      </w:pPr>
      <w:r>
        <w:t xml:space="preserve">b) für Hintermauerziegel 68 Gramm Kohlendioxid je erzeugtem Kilogramm Ziegel,</w:t>
      </w:r>
    </w:p>
    <w:p>
      <w:pPr>
        <w:ind w:left="780"/>
      </w:pPr>
      <w:r>
        <w:t xml:space="preserve">c) für Dachziegel (U-Kassette) 130 Gramm Kohlendioxid je erzeugtem Kilogramm Ziegeln und</w:t>
      </w:r>
    </w:p>
    <w:p>
      <w:pPr>
        <w:ind w:left="780"/>
      </w:pPr>
      <w:r>
        <w:t xml:space="preserve">d) für Dachziegel (H-Kassette) 158 Gramm Kohlendioxid je erzeugtem Kilogramm Ziegel.</w:t>
      </w:r>
    </w:p>
    <w:p>
      <w:pPr>
        <w:ind w:left="420"/>
      </w:pPr>
      <w:r>
        <w:t xml:space="preserve">Zu diesem Emissionswert für kommerzielle und nicht-kommerzielle Brennstoffe ist ein den Emissionen aus Karbonaten und aus fossilem organischem Kohlenstoff entsprechender Wert hinzuzurechnen.</w:t>
      </w:r>
    </w:p>
    <w:p>
      <w:r>
        <w:t xml:space="preserve">Teil B Anwendungsregeln für die Zuteilung nach den §§ 8 und 9</w:t>
      </w:r>
    </w:p>
    <w:p>
      <w:pPr>
        <w:ind w:left="420"/>
      </w:pPr>
      <w:r>
        <w:t xml:space="preserve">I) Die genehmigungsrechtlich zulässige Möglichkeit, gasförmige Brennstoffe zu verwenden, bleibt bei der Festlegung des Emissionswertes nur unberücksichtigt, soweit sie ausschließlich zum Zwecke der notwendigen Zünd- und Stützfeuerung erfolgt.</w:t>
      </w:r>
    </w:p>
    <w:p>
      <w:pPr>
        <w:ind w:left="420"/>
      </w:pPr>
      <w:r>
        <w:t xml:space="preserve">II) Sofern die Anlage als gemeinsame Anlage aus mehreren, ansonsten selbständig genehmigungsbedürftigen Teilanlagen besteht, gilt die Zuordnung nach Teil A für jede Teilanlage gesondert.</w:t>
      </w:r>
    </w:p>
    <w:p>
      <w:r>
        <w:rPr>
          <w:color w:val="555555"/>
          <w:sz w:val="17"/>
        </w:rPr>
        <w:t xml:space="preserve">Zitiervorschlag: Anhang 3 ZuG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https://recht.nulegal.eu/gesetze/ZuG%202012/anhang-3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