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ZuG 2012 — Nationale Emissionsziele</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Es wird eine Gesamtmenge für die Emission von Treibhausgasen in Deutschland festgelegt, welche die Einhaltung der Minderungsverpflichtung der Bundesrepublik Deutschland nach der Entscheidung des Rates 2002/358/EG vom 25. April 2002 über die Genehmigung des Protokolls von Kyoto zum Rahmenübereinkommen der Vereinten Nationen über Klimaänderungen im Namen der Europäischen Gemeinschaft sowie die gemeinsame Erfüllung der daraus erwachsenden Verpflichtungen (ABl. EG Nr. L 130 S. 1, Nr. L 176 S. 47) gewährleistet. In der Zuteilungsperiode 2008 bis 2012 beträgt die Gesamtmenge 973,6 Millionen Tonnen Kohlendioxid-Äquivalente je Jahr.</w:t>
      </w:r>
    </w:p>
    <w:p>
      <w:r>
        <w:t xml:space="preserve">(2) Die Gesamtmenge der zuteilbaren Berechtigungen in der Zuteilungsperiode 2008 bis 2012 beträgt 442,07 Millionen Berechtigungen pro Jahr zuzüglich einer Menge von bis zu 11 Millionen Berechtigungen pro Jahr für die Zuteilungen an Anlagen, auf die § 26 Abs. 1 des Treibhausgas-Emissionshandelsgesetzes vom 8. Juli 2004 (BGBl. I S. 1578), das zuletzt durch Artikel 9 des Gesetzes vom 11. August 2010 (BGBl. I S. 1163) geändert worden ist, Anwendung findet. Diese Gesamtmenge umfasst auch die Berechtigungen, die als Reserve nach § 5 Abs. 1 und für eine Veräußerung nach § 19 zurückbehalten werden.</w:t>
      </w:r>
    </w:p>
    <w:p>
      <w:r>
        <w:t xml:space="preserve">(3) Übersteigt die Gesamtmenge der nach den Vorschriften dieses Gesetzes mit Ausnahme der nach § 9 für Neuanlagen zuzuteilenden Berechtigungen die Menge von 379,07 Millionen Berechtigungen je Jahr zuzüglich der Menge von Berechtigungen, die an Anlagen zuzuteilen sind, auf die § 26 Abs. 1 des Treibhausgas-Emissionshandelsgesetzes vom 8. Juli 2004 (BGBl. I S. 1578), das zuletzt durch Artikel 9 des Gesetzes vom 11. August 2010 (BGBl. I S. 1163) geändert worden ist, Anwendung findet, werden die Zuteilungen für Anlagen nach Anhang 1 Ziffern I bis V des Treibhausgas-Emissionshandelsgesetzes vom 8. Juli 2004 (BGBl. I S. 1578), das zuletzt durch Artikel 9 des Gesetzes vom 11. August 2010 (BGBl. I S. 1163) geändert worden ist, nach den §§ 7 und 8 entsprechend dem Effizienzstandard der Anlage nach Maßgabe von Anhang 5 anteilig gekürzt. Bei einer Unterschreitung des Wertes nach Satz 1 fließen die verbleibenden Berechtigungen der Reserve zu. Von der anteiligen Kürzung ausgenommen sind Zuteilungen an Anlagen, die in der Zuteilungsperiode 2005 bis 2007 eine Zuteilung nach § 12 Abs. 1 des Zuteilungsgesetzes 2007 erhalten haben, soweit der Zeitraum von zwölf auf den Abschluss der Modernisierungsmaßnahme folgenden Kalenderjahren in die Zuteilungsperiode 2008 bis 2012 hineinreicht oder der Nachweis nach § 12 Abs. 1 Satz 5 des Zuteilungsgesetzes 2007 erbracht wurde.</w:t>
      </w:r>
    </w:p>
    <w:p>
      <w:r>
        <w:rPr>
          <w:color w:val="555555"/>
          <w:sz w:val="17"/>
        </w:rPr>
        <w:t xml:space="preserve">Zitiervorschlag: § 4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