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ZuG 2012 — Begriffsbestimmungen</w:t>
      </w:r>
    </w:p>
    <w:p>
      <w:r>
        <w:rPr>
          <w:color w:val="555555"/>
          <w:sz w:val="18"/>
        </w:rPr>
        <w:t xml:space="preserve">Zuteilungsgesetz 2012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Soweit nichts anderes bestimmt ist, gelten die Begriffsbestimmungen des Treibhausgas-Emissionshandelsgesetzes.</w:t>
      </w:r>
    </w:p>
    <w:p>
      <w:r>
        <w:t xml:space="preserve">(2) Im Sinne dieses Gesetzes sind</w:t>
      </w:r>
    </w:p>
    <w:p>
      <w:pPr>
        <w:ind w:left="420"/>
      </w:pPr>
      <w:r>
        <w:t xml:space="preserve">1. Neuanlagen: Anlagen, deren Inbetriebnahme nach dem 31. Dezember 2007 erfolgt,</w:t>
      </w:r>
    </w:p>
    <w:p>
      <w:pPr>
        <w:ind w:left="420"/>
      </w:pPr>
      <w:r>
        <w:t xml:space="preserve">2. Inbetriebnahme: die erstmalige Aufnahme des Regelbetriebes nach Abschluss des Probebetriebes,</w:t>
      </w:r>
    </w:p>
    <w:p>
      <w:pPr>
        <w:ind w:left="420"/>
      </w:pPr>
      <w:r>
        <w:t xml:space="preserve">3. Probebetrieb: der zeitweilige Betrieb einer Anlage zur Prüfung ihrer Betriebstüchtigkeit entsprechend dem vorgesehenen Ablauf der Inbetriebsetzung,</w:t>
      </w:r>
    </w:p>
    <w:p>
      <w:pPr>
        <w:ind w:left="420"/>
      </w:pPr>
      <w:r>
        <w:t xml:space="preserve">4. Produktionsmenge: die Menge der je Jahr in einer Anlage erzeugten Produkteinheiten,</w:t>
      </w:r>
    </w:p>
    <w:p>
      <w:pPr>
        <w:ind w:left="420"/>
      </w:pPr>
      <w:r>
        <w:t xml:space="preserve">5. Kapazität: die tatsächlich und rechtlich maximal mögliche Produktionsmenge pro Jahr,</w:t>
      </w:r>
    </w:p>
    <w:p>
      <w:pPr>
        <w:ind w:left="420"/>
      </w:pPr>
      <w:r>
        <w:t xml:space="preserve">6. Kapazitätserweiterung: eine Erhöhung der Kapazität aufgrund einer immissionsschutzrechtlich genehmigten Änderung der Anlage,</w:t>
      </w:r>
    </w:p>
    <w:p>
      <w:pPr>
        <w:ind w:left="420"/>
      </w:pPr>
      <w:r>
        <w:t xml:space="preserve">7. Inbetriebnahme einer Kapazitätserweiterung: die Aufnahme des Regelbetriebs der Anlage mit der erweiterten Kapazität,</w:t>
      </w:r>
    </w:p>
    <w:p>
      <w:pPr>
        <w:ind w:left="420"/>
      </w:pPr>
      <w:r>
        <w:t xml:space="preserve">8. Standardauslastungsfaktor: der Quotient aus den nach Anhang 4 für die jeweiligen Tätigkeiten festgelegten Vollbenutzungsstunden und der Anzahl der genehmigten maximalen Vollbenutzungsstunden pro Jahr; für die Berechnung des Standardauslastungsfaktors ist Anhang 4 maßgeblich,</w:t>
      </w:r>
    </w:p>
    <w:p>
      <w:pPr>
        <w:ind w:left="420"/>
      </w:pPr>
      <w:r>
        <w:t xml:space="preserve">9. Kuppelgas: als Nebenprodukt bei der Erzeugung von Grundstoffen entstehendes Gicht-, Kokerei- oder Konvertergas oder eine Mischung aus diesen Gasen.</w:t>
      </w:r>
    </w:p>
    <w:p>
      <w:r>
        <w:rPr>
          <w:color w:val="555555"/>
          <w:sz w:val="17"/>
        </w:rPr>
        <w:t xml:space="preserve">Zitiervorschlag: § 3 ZuG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https://recht.nulegal.eu/gesetze/ZuG%202012/3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