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ZuG 2012 — Bußgeldvorschriften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10 Abs. 2 eine Anzeige nicht, nicht richtig oder nicht rechtzeitig erstattet oder</w:t>
      </w:r>
    </w:p>
    <w:p>
      <w:pPr>
        <w:ind w:left="420"/>
      </w:pPr>
      <w:r>
        <w:t xml:space="preserve">2. entgegen § 10 Abs. 3 Satz 2 in Verbindung mit § 21 Abs. 2 Satz 1 Nr. 1 oder 2 des Treibhausgas-Emissionshandelsgesetzes vom 8. Juli 2004 (BGBl. I S. 1578), das zuletzt durch Artikel 9 des Gesetzes vom 11. August 2010 (BGBl. I S. 1163) geändert worden ist, eine dort genannte Maßnahme nicht gestattet.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22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