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13 ZuG 2012 — Nähere Bestimmung der Berechnung der Zuteilung</w:t>
      </w:r>
    </w:p>
    <w:p>
      <w:r>
        <w:rPr>
          <w:color w:val="555555"/>
          <w:sz w:val="18"/>
        </w:rPr>
        <w:t xml:space="preserve">Zuteilungsgesetz 2012</w:t>
      </w:r>
    </w:p>
    <w:p>
      <w:r>
        <w:rPr>
          <w:color w:val="555555"/>
          <w:sz w:val="18"/>
        </w:rPr>
        <w:t xml:space="preserve">Historische Fassung: Stand 10.06.2019 bis 13.04.2025. Dies ist nicht die aktuelle Fassung.</w:t>
      </w:r>
    </w:p>
    <w:p>
      <w:r>
        <w:t xml:space="preserve">Die Bundesregierung wird ermächtigt, durch Rechtsverordnung ohne Zustimmung des Bundesrates Vorschriften zu erlassen für</w:t>
      </w:r>
    </w:p>
    <w:p>
      <w:pPr>
        <w:ind w:left="420"/>
      </w:pPr>
      <w:r>
        <w:t xml:space="preserve">1. die Bestimmung der durchschnittlichen jährlichen Kohlendioxid-Emissionen sowie Festlegungen zur Vereinheitlichung der anzuwendenden Berechnungsgrößen zur Berechnung der Anzahl zuzuteilender Berechtigungen nach § 6 Abs. 1;</w:t>
      </w:r>
    </w:p>
    <w:p>
      <w:pPr>
        <w:ind w:left="420"/>
      </w:pPr>
      <w:r>
        <w:t xml:space="preserve">2. die Bestimmung der durchschnittlichen jährlichen Produktionsmenge und für die Berechnung der Anzahl zuzuteilender Berechtigungen nach § 7 Abs. 1;</w:t>
      </w:r>
    </w:p>
    <w:p>
      <w:pPr>
        <w:ind w:left="420"/>
      </w:pPr>
      <w:r>
        <w:t xml:space="preserve">3. die Festlegung zusätzlicher Emissionswerte je erzeugter Produkteinheit und die Zuordnung von Brennstoffen zu den Emissionswerten je erzeugter Produkteinheit nach § 9 Abs. 2;</w:t>
      </w:r>
    </w:p>
    <w:p>
      <w:pPr>
        <w:ind w:left="420"/>
      </w:pPr>
      <w:r>
        <w:t xml:space="preserve">4. die Bestimmung der Kapazität einer Neuanlage und des Emissionswertes je erzeugter Produkteinheit, die bei der Berechnung zuzuteilender Berechtigungen nach § 9 zugrunde zu legen ist;</w:t>
      </w:r>
    </w:p>
    <w:p>
      <w:pPr>
        <w:ind w:left="420"/>
      </w:pPr>
      <w:r>
        <w:t xml:space="preserve">5. die nähere Bestimmung des maßgeblichen Standardauslastungsfaktors nach § 3 Nr. 8;</w:t>
      </w:r>
    </w:p>
    <w:p>
      <w:pPr>
        <w:ind w:left="420"/>
      </w:pPr>
      <w:r>
        <w:t xml:space="preserve">6. die Hinzurechnung und den Abzug nach § 11 Abs. 2, für die Bestimmung der dem Kuppelgaseinsatz zuzurechnenden Produktionsmenge nach § 11 Abs. 3 sowie für die Neuberechnung nach § 11 Abs. 3 bis 5;</w:t>
      </w:r>
    </w:p>
    <w:p>
      <w:pPr>
        <w:ind w:left="420"/>
      </w:pPr>
      <w:r>
        <w:t xml:space="preserve">7. die von Anhang 3 Teil A Nr. I abweichende Zuordnung eines Emissionswertes je erzeugter Produkteinheit, soweit Anlagen nach § 7 Abs. 1 Synthesegas aus Kohlevergasung einsetzen, sowie für Anforderungen an den Nachweis des Synthesegaseinsatzes;</w:t>
      </w:r>
    </w:p>
    <w:p>
      <w:pPr>
        <w:ind w:left="420"/>
      </w:pPr>
      <w:r>
        <w:t xml:space="preserve">8. die von Anhang 5 Nr. 2 abweichende Zuordnung eines Produktstandards, soweit Anlagen nach § 7 Abs. 1 Synthesegas aus Kohlevergasung einsetzen;</w:t>
      </w:r>
    </w:p>
    <w:p>
      <w:pPr>
        <w:ind w:left="420"/>
      </w:pPr>
      <w:r>
        <w:t xml:space="preserve">9. den Nachweis der Mehrproduktion im Falle der Produktionsübernahme nach § 10 Abs. 6.</w:t>
      </w:r>
    </w:p>
    <w:p>
      <w:r>
        <w:rPr>
          <w:color w:val="555555"/>
          <w:sz w:val="17"/>
        </w:rPr>
        <w:t xml:space="preserve">Zitiervorschlag: § 13 ZuG 2012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https://recht.nulegal.eu/gesetze/ZuG%202012/13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