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ZuG 2012 — Kuppelgas</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Für Anlagen im Sinne von Anhang 1 Nr. VII, IX oder IXa des Treibhausgas-Emissionshandelsgesetzes vom 8. Juli 2004 (BGBl. I S. 1578), das zuletzt durch Artikel 9 des Gesetzes vom 11. August 2010 (BGBl. I S. 1163) geändert worden ist, bei denen im Rahmen des Produktionsverfahrens Kuppelgase anfallen (Kuppelgas erzeugende Anlage), sowie für andere Anlagen im Anwendungsbereich des Treibhausgas-Emissionshandelsgesetzes vom 8. Juli 2004 (BGBl. I S. 1578), das zuletzt durch Artikel 9 des Gesetzes vom 11. August 2010 (BGBl. I S. 1163) geändert worden ist, die Kuppelgase verwerten, erfolgt die Zuteilung nach Maßgabe der Absätze 2 bis 6. Diese Zuteilung lässt die Zuordnung der Pflichten nach den §§ 5 und 6 des Treibhausgas-Emissionshandelsgesetzes vom 8. Juli 2004 (BGBl. I S. 1578), das zuletzt durch Artikel 9 des Gesetzes vom 11. August 2010 (BGBl. I S. 1163) geändert worden ist, unberührt.</w:t>
      </w:r>
    </w:p>
    <w:p>
      <w:r>
        <w:t xml:space="preserve">(2) Im Rahmen der Zuteilung von Berechtigungen nach § 6 an Kuppelgas erzeugende Anlagen werden zu den nach § 6 Abs. 5 maßgeblichen Emissionen die Emissionen hinzugerechnet, die aus der Verwertung der weitergeleiteten Kuppelgase in Anlagen im Sinne von Anhang 1 des Treibhausgas-Emissionshandelsgesetzes vom 8. Juli 2004 (BGBl. I S. 1578), das zuletzt durch Artikel 9 des Gesetzes vom 11. August 2010 (BGBl. I S. 1163) geändert worden ist, resultieren. Bei Anlagen, die weitergeleitete Kuppelgase verwertet haben und eine Zuteilung nach § 6 erhalten, werden von den nach § 6 Abs. 5 maßgeblichen Emissionen die Emissionen abgezogen, die aus der Verwertung der weitergeleiteten Kuppelgase resultieren. § 6 Abs. 9 findet keine Anwendung.</w:t>
      </w:r>
    </w:p>
    <w:p>
      <w:r>
        <w:t xml:space="preserve">(3) Im Rahmen der Zuteilung von Berechtigungen nach § 7 an Anlagen, die weitergeleitete Kuppelgase verwertet haben, wird von der für die Zuteilung maßgeblichen Produktionsmenge die Produktionsmenge abgezogen, die dem Einsatz der weitergeleiteten Kuppelgase zuzurechnen ist. Bei der Ermittlung des Emissionswertes je erzeugter Produkteinheit der Anlage bleibt der Kuppelgaseinsatz unberücksichtigt. § 7 Abs. 4 findet keine Anwendung.</w:t>
      </w:r>
    </w:p>
    <w:p>
      <w:r>
        <w:t xml:space="preserve">(4) Bei der Zuteilung von Berechtigungen nach den §§ 8 und 9 an Kuppelgas erzeugende Anlagen hat die zuständige Behörde den Emissionswert je erzeugter Produkteinheit entsprechend der Zuordnung von Kuppelgasen nach Absatz 2 Satz 1 festzusetzen. Im Falle von Kapazitätserweiterungen gilt Satz 1 entsprechend.</w:t>
      </w:r>
    </w:p>
    <w:p>
      <w:r>
        <w:t xml:space="preserve">(5) Für die Zuteilung von Berechtigungen nach den §§ 8 und 9 für Anlagen, die weitergeleitete Kuppelgase verwerten und für die ein Emissionswert je erzeugter Produkteinheit nach § 9 Abs. 2 festgelegt ist, wird bei der Berechnung des Standardauslastungsfaktors an Stelle der in Anhang 4 festgelegten Vollbenutzungsstunden ein Wert von 400 Vollbenutzungsstunden zugrunde gelegt. Soweit kein Emissionswert je erzeugter Produkteinheit nach § 9 Abs. 2 festgelegt ist, bleibt der Kuppelgaseinsatz bei der Bestimmung des Emissionswertes je erzeugter Produkteinheit unberücksichtigt. Im Falle von Kapazitätserweiterungen gelten die Sätze 1 und 2 entsprechend.</w:t>
      </w:r>
    </w:p>
    <w:p>
      <w:r>
        <w:t xml:space="preserve">(6) Für die Hinzurechnung und den Abzug nach Absatz 2, für die Bestimmung der dem Kuppelgaseinsatz zuzurechnenden Produktionsmenge nach Absatz 3 sowie für die Neuberechnung nach den Absätzen 3 bis 5 sind die näheren Festlegungen in einer Rechtsverordnung nach § 13 maßgeblich. Sind für Berechnungen nach den Absätzen 2 bis 5 zusätzliche Angaben oder Daten erforderlich, ist der Betreiber verpflichtet, diese auf Verlangen der zuständigen Behörde unverzüglich zu übermitteln.</w:t>
      </w:r>
    </w:p>
    <w:p>
      <w:r>
        <w:t xml:space="preserve">(7) Betreiber der Kuppelgas erzeugenden Anlage sind verpflichtet, den Betreibern der Anlagen, die das weitergeleitete Kuppelgas verwerten, jeweils bis zum 1. März eines Jahres, erstmals im Jahr 2009, eine Anzahl von Berechtigungen kostenlos zu übertragen, die dem Kohlendioxid-Äquivalent der im vorangegangenen Kalenderjahr verwerteten Kuppelgasmenge entspricht.</w:t>
      </w:r>
    </w:p>
    <w:p>
      <w:r>
        <w:rPr>
          <w:color w:val="555555"/>
          <w:sz w:val="17"/>
        </w:rPr>
        <w:t xml:space="preserve">Zitiervorschlag: § 11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