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ZuG 2007 — Erfüllungsfaktor</w:t>
      </w:r>
    </w:p>
    <w:p>
      <w:r>
        <w:rPr>
          <w:color w:val="555555"/>
          <w:sz w:val="18"/>
        </w:rPr>
        <w:t xml:space="preserve">Zuteilungsgesetz 2007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Der Erfüllungsfaktor für die Zuteilungsperiode 2005 bis 2007 ist 0,9709.</w:t>
      </w:r>
    </w:p>
    <w:p>
      <w:r>
        <w:rPr>
          <w:color w:val="555555"/>
          <w:sz w:val="17"/>
        </w:rPr>
        <w:t xml:space="preserve">Zitiervorschlag: § 5 ZuG 2007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https://recht.nulegal.eu/gesetze/ZuG%202007/5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