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ZuG 2007 — Zuständigkeiten</w:t>
      </w:r>
    </w:p>
    <w:p>
      <w:r>
        <w:rPr>
          <w:color w:val="555555"/>
          <w:sz w:val="18"/>
        </w:rPr>
        <w:t xml:space="preserve">Zuteilungsgesetz 2007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Zuständige Behörde im Sinne dieses Gesetzes ist die Behörde nach § 20 Abs. 1 Satz 2 des Treibhausgas-Emissionshandelsgesetzes vom 8. Juli 2004 (BGBl. I S. 1578), das zuletzt durch Artikel 9 des Gesetzes vom 11. August 2010 (BGBl. I S. 1163) geändert worden ist.</w:t>
      </w:r>
    </w:p>
    <w:p>
      <w:r>
        <w:t xml:space="preserve">(2) Soweit für Streitigkeiten nach diesem Gesetz der Verwaltungsrechtsweg gegeben ist, ist bei Anfechtungsklagen gegen Verwaltungsakte des Umweltbundesamtes das Gericht örtlich zuständig, in dessen Bezirk der Verwaltungsakt erlassen wurde. Satz 1 gilt entsprechend für Verpflichtungsklagen sowie für Klagen auf Feststellung der Nichtigkeit von Verwaltungsakten.</w:t>
      </w:r>
    </w:p>
    <w:p>
      <w:r>
        <w:rPr>
          <w:color w:val="555555"/>
          <w:sz w:val="17"/>
        </w:rPr>
        <w:t xml:space="preserve">Zitiervorschlag: § 22 ZuG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https://recht.nulegal.eu/gesetze/ZuG%202007/22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