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ZuG 2007 — Ordnungswidrigkeiten</w:t>
      </w:r>
    </w:p>
    <w:p>
      <w:r>
        <w:rPr>
          <w:color w:val="555555"/>
          <w:sz w:val="18"/>
        </w:rPr>
        <w:t xml:space="preserve">Zuteilungsgesetz 2007</w:t>
      </w:r>
    </w:p>
    <w:p>
      <w:r>
        <w:rPr>
          <w:color w:val="555555"/>
          <w:sz w:val="18"/>
        </w:rPr>
        <w:t xml:space="preserve">Historische Fassung: Stand 10.06.2019 bis 13.04.2025. Dies ist nicht die aktuelle Fassung.</w:t>
      </w:r>
    </w:p>
    <w:p>
      <w:r>
        <w:t xml:space="preserve">(1) Ordnungswidrig handelt, wer vorsätzlich oder fahrlässig</w:t>
      </w:r>
    </w:p>
    <w:p>
      <w:pPr>
        <w:ind w:left="420"/>
      </w:pPr>
      <w:r>
        <w:t xml:space="preserve">1. entgegen § 8 Abs. 3 Satz 1 einen Nachweis nicht, nicht richtig, nicht vollständig oder nicht rechtzeitig erbringt,</w:t>
      </w:r>
    </w:p>
    <w:p>
      <w:pPr>
        <w:ind w:left="420"/>
      </w:pPr>
      <w:r>
        <w:t xml:space="preserve">2. entgegen § 9 Abs. 2 eine Anzeige nicht, nicht richtig oder nicht rechtzeitig erstattet oder</w:t>
      </w:r>
    </w:p>
    <w:p>
      <w:pPr>
        <w:ind w:left="420"/>
      </w:pPr>
      <w:r>
        <w:t xml:space="preserve">3. entgegen § 9 Abs. 3 Satz 2 in Verbindung mit § 21 Abs. 2 Satz 1 Nr. 1 oder 2 des Treibhausgas-Emissionshandelsgesetzes vom 8. Juli 2004 (BGBl. I S. 1578), das zuletzt durch Artikel 9 des Gesetzes vom 11. August 2010 (BGBl. I S. 1163) geändert worden ist, eine dort genannte Maßnahme nicht gestattet.</w:t>
      </w:r>
    </w:p>
    <w:p>
      <w:r>
        <w:t xml:space="preserve">(2) Die Ordnungswidrigkeit kann mit einer Geldbuße bis zu fünfzigtausend Euro geahndet werden.</w:t>
      </w:r>
    </w:p>
    <w:p>
      <w:r>
        <w:rPr>
          <w:color w:val="555555"/>
          <w:sz w:val="17"/>
        </w:rPr>
        <w:t xml:space="preserve">Zitiervorschlag: § 21 ZuG 2007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https://recht.nulegal.eu/gesetze/ZuG%202007/21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