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ZuG 2007 — Prozessbedingte Emissionen</w:t>
      </w:r>
    </w:p>
    <w:p>
      <w:r>
        <w:rPr>
          <w:color w:val="555555"/>
          <w:sz w:val="18"/>
        </w:rPr>
        <w:t xml:space="preserve">Zuteilungsgesetz 2007</w:t>
      </w:r>
    </w:p>
    <w:p>
      <w:r>
        <w:rPr>
          <w:color w:val="555555"/>
          <w:sz w:val="18"/>
        </w:rPr>
        <w:t xml:space="preserve">Historische Fassung: Stand 10.06.2019 bis 13.04.2025. Dies ist nicht die aktuelle Fassung.</w:t>
      </w:r>
    </w:p>
    <w:p>
      <w:r>
        <w:t xml:space="preserve">(1) Auf Antrag setzt die zuständige Behörde abweichend von § 7 für prozessbedingte Emissionen einen Erfüllungsfaktor von 1 an, sofern der Anteil der prozessbedingten Emissionen an den gesamten Emissionen einer Anlage 10 Prozent oder mehr beträgt.</w:t>
      </w:r>
    </w:p>
    <w:p>
      <w:r>
        <w:t xml:space="preserve">(2) Prozessbedingte Emissionen sind alle Freisetzungen von Kohlendioxid in die Atmosphäre, bei denen das Kohlendioxid als Produkt einer chemischen Reaktion entsteht, die keine Verbrennung ist. Die näheren Einzelheiten für die Berechnung prozessbedingter Emissionen einer Anlage werden durch die Vorschriften der Rechtsverordnung nach § 16 bestimmt. Abweichend von § 7 Abs. 1 Satz 3 errechnet sich die Emissionsmenge, für die Berechtigungen nach Absatz 1 zuzuteilen sind, nach Formel 6 des Anhangs 1 zu diesem Gesetz.</w:t>
      </w:r>
    </w:p>
    <w:p>
      <w:r>
        <w:t xml:space="preserve">(3) Der Antrag nach Absatz 1 ist im Rahmen des Antrags nach § 10 Abs. 1 des Treibhausgas-Emissionshandelsgesetzes vom 8. Juli 2004 (BGBl. I S. 1578), das zuletzt durch Artikel 9 des Gesetzes vom 11. August 2010 (BGBl. I S. 1163) geändert worden ist, zu stellen. Er muss die nach den vorstehenden Absätzen erforderlichen Angaben enthalten über die in einer Rechtsverordnung nach Absatz 2 Satz 2 geregelte Höhe und den Anteil prozessbedingter Kohlendioxid-Emissionen an den gesamten Emissionen einer Anlage.</w:t>
      </w:r>
    </w:p>
    <w:p>
      <w:r>
        <w:rPr>
          <w:color w:val="555555"/>
          <w:sz w:val="17"/>
        </w:rPr>
        <w:t xml:space="preserve">Zitiervorschlag: § 13 ZuG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https://recht.nulegal.eu/gesetze/ZuG%202007/13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