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ZoonoseV — Ordnungswidrigkeiten</w:t>
      </w:r>
    </w:p>
    <w:p>
      <w:r>
        <w:rPr>
          <w:color w:val="555555"/>
          <w:sz w:val="18"/>
        </w:rPr>
        <w:t xml:space="preserve">Verordnung mit lebensmittelrechtlichen Vorschriften zur Überwachung von Zoonosen und Zoonoseerregern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Ordnungswidrig im Sinne des § 60 Abs. 2 Nr. 26 Buchstabe a des Lebensmittel- und Futtermittelgesetzbuches handelt, wer vorsätzlich oder fahrlässig</w:t>
      </w:r>
    </w:p>
    <w:p>
      <w:pPr>
        <w:ind w:left="420"/>
      </w:pPr>
      <w:r>
        <w:t xml:space="preserve">1. entgegen § 3 Abs. 1 eine Rückstellprobe nicht oder nicht rechtzeitig anfertigt,</w:t>
      </w:r>
    </w:p>
    <w:p>
      <w:pPr>
        <w:ind w:left="420"/>
      </w:pPr>
      <w:r>
        <w:t xml:space="preserve">2. entgegen § 3 Abs. 1 oder Abs. 2 Nr. 3 Buchstabe a eine Rückstellprobe oder ein Isolat nicht oder nicht für die vorgeschriebene Dauer aufbewahrt,</w:t>
      </w:r>
    </w:p>
    <w:p>
      <w:pPr>
        <w:ind w:left="420"/>
      </w:pPr>
      <w:r>
        <w:t xml:space="preserve">3. entgegen § 3 Absatz 2 Nummer 1 eine Mitteilung nicht, nicht richtig oder nicht rechtzeitig macht oder</w:t>
      </w:r>
    </w:p>
    <w:p>
      <w:pPr>
        <w:ind w:left="420"/>
      </w:pPr>
      <w:r>
        <w:t xml:space="preserve">4. entgegen § 3 Abs. 2 Nr. 3 Buchstabe b oder Abs. 4 Satz 2 eine Rückstellprobe, ein Isolat oder einen Nachweis nicht, nicht richtig oder nicht rechtzeitig vorlegt.</w:t>
      </w:r>
    </w:p>
    <w:p>
      <w:r>
        <w:rPr>
          <w:color w:val="555555"/>
          <w:sz w:val="17"/>
        </w:rPr>
        <w:t xml:space="preserve">Zitiervorschlag: § 4 ZoonoseV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https://recht.nulegal.eu/gesetze/ZoonoseV/4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