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ZoonoseV — Betriebseigene Kontrollen</w:t>
      </w:r>
    </w:p>
    <w:p>
      <w:r>
        <w:rPr>
          <w:color w:val="555555"/>
          <w:sz w:val="18"/>
        </w:rPr>
        <w:t xml:space="preserve">Verordnung mit lebensmittelrechtlichen Vorschriften zur Überwachung von Zoonosen und Zoonoseerregern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(1) Wer im Rahmen von Kontrollen nach Artikel 3 Absatz 1 der Verordnung (EG) Nr. 2073/2005 der Kommission vom 15. November 2005 über mikrobiologische Kriterien für Lebensmittel (ABl. L 338 vom 22.12.2005, S. 1) oder anderen betriebseigenen Kontrollen Untersuchungen durchführt</w:t>
      </w:r>
    </w:p>
    <w:p>
      <w:pPr>
        <w:ind w:left="420"/>
      </w:pPr>
      <w:r>
        <w:t xml:space="preserve">1. von Lebensmitteln auf Zoonoseerreger,</w:t>
      </w:r>
    </w:p>
    <w:p>
      <w:pPr>
        <w:ind w:left="420"/>
      </w:pPr>
      <w:r>
        <w:t xml:space="preserve">2. von Produktresten von Lebensmitteln oder Schmierwasser in der Käseherstellung bei der Herstellung und Bearbeitung von verzehrfertigen Lebensmitteln auf Listeria monocytogenes,</w:t>
      </w:r>
    </w:p>
    <w:p>
      <w:pPr>
        <w:ind w:left="420"/>
      </w:pPr>
      <w:r>
        <w:t xml:space="preserve">3. nach Artikel 5 Absatz 2 Unterabsatz 1 und 2 der Verordnung (EG) Nr. 2073/2005 einschließlich Untersuchungen zur Prüfung des Reinigungs- und Desinfektionserfolgs insbesondere von Arbeitsflächen, Rohrleitungssystemen oder Transportbehältnissen, die mit verzehrfertigen Lebensmitteln nach Artikel 2 Buchstabe g der Verordnung (EG) Nr. 2073/2005 in Berührung kommen können, auf Listeria monocytogenes,</w:t>
      </w:r>
    </w:p>
    <w:p>
      <w:r>
        <w:t xml:space="preserve">hat zum Zweck der Durchführung von weitergehenden Untersuchungen Rückstellproben des Probenmaterials soweit möglich anzufertigen und bis zum Vorliegen des Ergebnisses der Untersuchungen in geeigneter Weise aufzubewahren.</w:t>
      </w:r>
    </w:p>
    <w:p>
      <w:r>
        <w:t xml:space="preserve">(2) Wer durch Untersuchungen nach Absatz 1 Zoonoseerreger nachgewiesen hat, hat</w:t>
      </w:r>
    </w:p>
    <w:p>
      <w:pPr>
        <w:ind w:left="420"/>
      </w:pPr>
      <w:r>
        <w:t xml:space="preserve">1. das Untersuchungsergebnis unverzüglich nach Kenntnisnahme der zuständigen Behörde mitzuteilen,</w:t>
      </w:r>
    </w:p>
    <w:p>
      <w:pPr>
        <w:ind w:left="420"/>
      </w:pPr>
      <w:r>
        <w:t xml:space="preserve">2. Isolate der nachgewiesenen Zoonoseerreger herzustellen, soweit eine Erregerkultur zu einem Isolat führt, und</w:t>
      </w:r>
    </w:p>
    <w:p>
      <w:pPr>
        <w:ind w:left="420"/>
      </w:pPr>
      <w:r>
        <w:t xml:space="preserve">3. die Rückstellproben des Probenmaterials und die Isolate</w:t>
      </w:r>
    </w:p>
    <w:p>
      <w:pPr>
        <w:ind w:left="780"/>
      </w:pPr>
      <w:r>
        <w:t xml:space="preserve">a) während eines von der zuständigen Behörde festzusetzenden Zeitraumes, jedoch nicht länger als drei Monate, in geeigneter Weise aufzubewahren und</w:t>
      </w:r>
    </w:p>
    <w:p>
      <w:pPr>
        <w:ind w:left="780"/>
      </w:pPr>
      <w:r>
        <w:t xml:space="preserve">b) der zuständigen Behörde auf Verlangen vorzulegen und auszuhändigen.</w:t>
      </w:r>
    </w:p>
    <w:p>
      <w:r>
        <w:t xml:space="preserve">(3) Eine Mitteilung nach Absatz 2 Nr. 1 oder eine Aushändigung einer Rückstellprobe oder eines Isolates nach Absatz 2 Nr. 3 darf nicht zur strafrechtlichen Verfolgung des Mitteilenden oder Aushändigenden oder für ein Verfahren nach dem Gesetz über Ordnungswidrigkeiten gegen den Mitteilenden oder Aushändigenden verwendet werden.</w:t>
      </w:r>
    </w:p>
    <w:p>
      <w:r>
        <w:t xml:space="preserve">(4) Wer zur Durchführung von Untersuchungen nach Absatz 1 verpflichtet ist, hat hierüber zeitlich geordnet Nachweise zu führen. Die Nachweise sind zwei Jahre lang aufzubewahren und der zuständigen Behörde auf Verlangen vorzulegen.</w:t>
      </w:r>
    </w:p>
    <w:p>
      <w:r>
        <w:rPr>
          <w:color w:val="555555"/>
          <w:sz w:val="17"/>
        </w:rPr>
        <w:t xml:space="preserve">Zitiervorschlag: § 3 ZoonoseV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https://recht.nulegal.eu/gesetze/ZoonoseV/3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