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ZoonoseV — Begriffsbestimmungen</w:t>
      </w:r>
    </w:p>
    <w:p>
      <w:r>
        <w:rPr>
          <w:color w:val="555555"/>
          <w:sz w:val="18"/>
        </w:rPr>
        <w:t xml:space="preserve">Verordnung mit lebensmittelrechtlichen Vorschriften zur Überwachung von Zoonosen und Zoonoseerregern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Sinne dieser Verordnung sind:</w:t>
      </w:r>
    </w:p>
    <w:p>
      <w:pPr>
        <w:ind w:left="420"/>
      </w:pPr>
      <w:r>
        <w:t xml:space="preserve">1. Zoonosen:Krankheiten oder Infektionen, die auf natürliche Weise direkt oder indirekt zwischen Menschen und Tieren übertragen werden können,</w:t>
      </w:r>
    </w:p>
    <w:p>
      <w:pPr>
        <w:ind w:left="420"/>
      </w:pPr>
      <w:r>
        <w:t xml:space="preserve">2. Zoonoseerreger:Viren, Bakterien, Pilze, Parasiten oder sonstige biologische Agenzien, die Zoonosen verursachen können.</w:t>
      </w:r>
    </w:p>
    <w:p>
      <w:r>
        <w:rPr>
          <w:color w:val="555555"/>
          <w:sz w:val="17"/>
        </w:rPr>
        <w:t xml:space="preserve">Zitiervorschlag: § 2 ZoonoseV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https://recht.nulegal.eu/gesetze/ZoonoseV/2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