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ZoonoseV — Zweck der Verordnung</w:t>
      </w:r>
    </w:p>
    <w:p>
      <w:r>
        <w:rPr>
          <w:color w:val="555555"/>
          <w:sz w:val="18"/>
        </w:rPr>
        <w:t xml:space="preserve">Verordnung mit lebensmittelrechtlichen Vorschriften zur Überwachung von Zoonosen und Zoonoseerregern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regelt die von Lebensmittelunternehmern zu ergreifenden lebensmittelrechtlichen Maßnahmen zur frühzeitigen Erfassung von Zoonosen und Zoonoseerregern als Grundlage für die Bewertung ihrer Herkunft und der Entwicklungstendenzen ihres Vorkommens.</w:t>
      </w:r>
    </w:p>
    <w:p>
      <w:r>
        <w:rPr>
          <w:color w:val="555555"/>
          <w:sz w:val="17"/>
        </w:rPr>
        <w:t xml:space="preserve">Zitiervorschlag: § 1 ZoonoseV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https://recht.nulegal.eu/gesetze/ZoonoseV/1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