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ZollVG — Nichtannahme der Zollanmeldung</w:t>
      </w:r>
    </w:p>
    <w:p>
      <w:r>
        <w:rPr>
          <w:color w:val="555555"/>
          <w:sz w:val="18"/>
        </w:rPr>
        <w:t xml:space="preserve">Zollverwaltungsgesetz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Unbeschadet des Zollkodex der Union und der sonstigen unionsrechtlichen Vorschriften lehnt die Zollstelle die Annahme der Zollanmeldung ab, wenn</w:t>
      </w:r>
    </w:p>
    <w:p>
      <w:pPr>
        <w:ind w:left="420"/>
      </w:pPr>
      <w:r>
        <w:t xml:space="preserve">1. die Zollstelle sachlich nicht zuständig ist,</w:t>
      </w:r>
    </w:p>
    <w:p>
      <w:pPr>
        <w:ind w:left="420"/>
      </w:pPr>
      <w:r>
        <w:t xml:space="preserve">2. die Voraussetzungen für die beantragte Zollbehandlung nicht vorliegen oder</w:t>
      </w:r>
    </w:p>
    <w:p>
      <w:pPr>
        <w:ind w:left="420"/>
      </w:pPr>
      <w:r>
        <w:t xml:space="preserve">3. Verbote und Beschränkungen entgegenstehen.</w:t>
      </w:r>
    </w:p>
    <w:p>
      <w:r>
        <w:t xml:space="preserve">(2) Die Zollstelle kann die Annahme der Zollanmeldung ablehnen, wenn</w:t>
      </w:r>
    </w:p>
    <w:p>
      <w:pPr>
        <w:ind w:left="420"/>
      </w:pPr>
      <w:r>
        <w:t xml:space="preserve">1. sie örtlich nicht zuständig ist,</w:t>
      </w:r>
    </w:p>
    <w:p>
      <w:pPr>
        <w:ind w:left="420"/>
      </w:pPr>
      <w:r>
        <w:t xml:space="preserve">2. die Regelungen über den Amtsplatz oder die Öffnungszeiten (§ 18) nicht beachtet worden sind.</w:t>
      </w:r>
    </w:p>
    <w:p>
      <w:r>
        <w:rPr>
          <w:color w:val="555555"/>
          <w:sz w:val="17"/>
        </w:rPr>
        <w:t xml:space="preserve">Zitiervorschlag: § 7 ZollVG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