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ZollVG — Nichtverfolgung von Steuerstraftaten und Steuerordnungswidrigkeiten, Erhebung eines Zuschlags</w:t>
      </w:r>
    </w:p>
    <w:p>
      <w:r>
        <w:rPr>
          <w:color w:val="555555"/>
          <w:sz w:val="18"/>
        </w:rPr>
        <w:t xml:space="preserve">Zollverwaltungsgesetz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Steuerstraftaten und Steuerordnungswidrigkeiten (§§ 369, 377 der Abgabenordnung) sollen als solche nicht verfolgt werden, wenn durch die Tat selbst oder die Vortat Einfuhr- oder Ausfuhrabgaben oder Verbrauchsteuern von insgesamt nicht mehr als 250 Euro verkürzt wurden oder deren Verkürzung versucht wurde.</w:t>
      </w:r>
    </w:p>
    <w:p>
      <w:r>
        <w:t xml:space="preserve">(2) Absatz 1 gilt nicht in den in § 370 Absatz 3, den §§ 373 und 374 Absatz 2 der Abgabenordnung genannten Fällen.</w:t>
      </w:r>
    </w:p>
    <w:p>
      <w:r>
        <w:t xml:space="preserve">(3) Wird eine Steuerstraftat oder Steuerordnungswidrigkeit nach Absatz 1 nicht verfolgt oder wird von der Verfolgung einer Steuerstraftat, die sich auf Einfuhr- oder Ausfuhrabgaben oder Verbrauchsteuern bezieht, nach § 398 der Abgabenordnung oder nach § 153 der Strafprozessordnung abgesehen, so kann ein Zuschlag bis zur Höhe der festzusetzenden Einfuhr- oder Ausfuhrabgaben oder Verbrauchsteuern, höchstens jedoch bis zu 250 Euro erhoben werden.</w:t>
      </w:r>
    </w:p>
    <w:p>
      <w:r>
        <w:rPr>
          <w:color w:val="555555"/>
          <w:sz w:val="17"/>
        </w:rPr>
        <w:t xml:space="preserve">Zitiervorschlag: § 32 ZollVG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