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28a ZollVG — Verfahrensermächtigung für die elektronische Kommunikation</w:t>
      </w:r>
    </w:p>
    <w:p>
      <w:r>
        <w:rPr>
          <w:color w:val="555555"/>
          <w:sz w:val="18"/>
        </w:rPr>
        <w:t xml:space="preserve">Zollverwaltungsgesetz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Die Generalzolldirektion kann durch Verfahrensanweisung die Voraussetzungen und Einzelheiten, insbesondere die Verfahren und deren Bedienung, sowie technische Einzelheiten für den nach Artikel 6 Absatz 1 des Zollkodex der Union erforderlichen Austausch von Informationen mit Mitteln der elektronischen Datenverarbeitung bestimmen. Die Verfahrensanweisung wird im Internet auf den Seiten der Zollverwaltung unter www.zoll.de veröffentlicht.</w:t>
      </w:r>
    </w:p>
    <w:p>
      <w:r>
        <w:t xml:space="preserve">(2) Datenübermittler haben die nach Absatz 1 für den jeweiligen Zeitraum bestimmten Vorgaben einzuhalten und die Verfahren ordnungsgemäß zu bedienen.</w:t>
      </w:r>
    </w:p>
    <w:p>
      <w:r>
        <w:rPr>
          <w:color w:val="555555"/>
          <w:sz w:val="17"/>
        </w:rPr>
        <w:t xml:space="preserve">Zitiervorschlag: § 28a ZollVG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https://recht.nulegal.eu/gesetze/ZollVG/28a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