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ZollVG — Beschränkung des Warenverkehrs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Handel mit Nichtunionswaren oder unversteuerten Waren, die zur Verwendung als Schiffs- und Reisebedarf bestimmt sind, darf nur mit schriftlicher Erlaubnis des Hauptzollamts betrieben werden. Die Erlaubnis kann zur Sicherung der Zollbelange mit Auflagen verbunden werden.</w:t>
      </w:r>
    </w:p>
    <w:p>
      <w:r>
        <w:t xml:space="preserve">(2) Das Bundesministerium der Finanzen kann zur Sicherung der Zollbelange durch Rechtsverordnung die Abgabe und den Bezug unverzollter oder unversteuerter Waren als Schiffs- und Reisebedarf einschränken oder für bestimmte Fälle untersagen.</w:t>
      </w:r>
    </w:p>
    <w:p>
      <w:r>
        <w:rPr>
          <w:color w:val="555555"/>
          <w:sz w:val="17"/>
        </w:rPr>
        <w:t xml:space="preserve">Zitiervorschlag: § 25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