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ZollVG — Verkehrswege</w:t>
      </w:r>
    </w:p>
    <w:p>
      <w:r>
        <w:rPr>
          <w:color w:val="555555"/>
          <w:sz w:val="18"/>
        </w:rPr>
        <w:t xml:space="preserve">Zollverwaltungsgesetz</w:t>
      </w:r>
    </w:p>
    <w:p>
      <w:r>
        <w:rPr>
          <w:color w:val="555555"/>
          <w:sz w:val="18"/>
        </w:rPr>
        <w:t xml:space="preserve">Stand: 01.04.2026 (konsolidierte Textfassung, kein amtliches Inkrafttretensdatum)</w:t>
      </w:r>
    </w:p>
    <w:p>
      <w:r>
        <w:t xml:space="preserve">(1) Waren dürfen im Geltungsbereich dieses Gesetzes nur auf Zollstraßen nach Absatz 3 Satz 1 oder über Zollflugplätze in das oder aus dem Zollgebiet der Union sowie in eine oder aus einer Freizone verbracht werden. Dies gilt nicht für den öffentlichen Schienenverkehr.</w:t>
      </w:r>
    </w:p>
    <w:p>
      <w:r>
        <w:t xml:space="preserve">(2) Sofern Waren, die dem Zollstraßenzwang nach Absatz 1 unterliegen, auf Wasserstraßen in das oder aus dem Zollgebiet der Union verbracht werden, darf mit Wasserfahrzeugen bei der Einfahrt nur an Zolllandungsplätzen angelegt, bei der Ausfahrt nur von einem solchen abgelegt werden. Mit den Wasserfahrzeugen darf nicht ohne zollamtliche Genehmigung auf der Zollstraße mit anderen Fahrzeugen oder mit dem Land in Verbindung getreten werden.</w:t>
      </w:r>
    </w:p>
    <w:p>
      <w:r>
        <w:t xml:space="preserve">(3) Zollstraßen sind Landstraßen, Wasserstraßen, Rohrleitungen und sonstige Beförderungswege, auf denen Waren in das oder aus dem Zollgebiet der Union sowie in die oder aus den Freizonen zu verbringen sind. Zollstraßen sowie die Zollflugplätze und Zolllandungsplätze werden öffentlich bekanntgegeben.</w:t>
      </w:r>
    </w:p>
    <w:p>
      <w:r>
        <w:t xml:space="preserve">(4) Das Bundesministerium der Finanzen kann durch Rechtsverordnung, soweit Verbote und Beschränkungen nicht entgegenstehen, zur Erleichterung des Verkehrs Ausnahmen von den Absätzen 1 und 2 zulassen und dabei bestimmen, dass in Einzelfällen Ausnahmen auch im Verwaltungswege zugelassen werden können.</w:t>
      </w:r>
    </w:p>
    <w:p>
      <w:r>
        <w:t xml:space="preserve">(5) Das Bundesministerium der Finanzen kann durch Rechtsverordnung unter den Voraussetzungen des Artikels 135 Absatz 5 des Zollkodex der Union Ausnahmen von der in Artikel 135 Absatz 1 des Zollkodex der Union genannten Verpflichtung vorsehen, in das Zollgebiet der Union verbrachte Waren zu der von den Zollbehörden bezeichneten Zollstelle oder einem anderen von diesen Behörden bezeichneten oder zugelassenen Ort zu befördern.</w:t>
      </w:r>
    </w:p>
    <w:p>
      <w:r>
        <w:rPr>
          <w:color w:val="555555"/>
          <w:sz w:val="17"/>
        </w:rPr>
        <w:t xml:space="preserve">Zitiervorschlag: § 2 ZollVG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https://recht.nulegal.eu/gesetze/ZollVG/2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