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ZollVG — Enteignung</w:t>
      </w:r>
    </w:p>
    <w:p>
      <w:r>
        <w:rPr>
          <w:color w:val="555555"/>
          <w:sz w:val="18"/>
        </w:rPr>
        <w:t xml:space="preserve">Zollverwaltungsgesetz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Für die Errichtung von Zollbauten im grenznahen Raum (§ 14 Absatz 1) ist die Enteignung zulässig.</w:t>
      </w:r>
    </w:p>
    <w:p>
      <w:r>
        <w:t xml:space="preserve">(2) Für Enteignungen nach Absatz 1 gelten § 2 und der Zweite und Dritte Teil sowie die §§ 67, 68, 71, 73 und 74 des Landbeschaffungsgesetzes in der im Bundesgesetzblatt Teil III, Gliederungsnummer 54-3, veröffentlichten bereinigten Fassung sinngemäß.</w:t>
      </w:r>
    </w:p>
    <w:p>
      <w:r>
        <w:rPr>
          <w:color w:val="555555"/>
          <w:sz w:val="17"/>
        </w:rPr>
        <w:t xml:space="preserve">Zitiervorschlag: § 16 ZollVG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