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ZollVG — Weiterleitungsbefugnis</w:t>
      </w:r>
    </w:p>
    <w:p>
      <w:r>
        <w:rPr>
          <w:color w:val="555555"/>
          <w:sz w:val="18"/>
        </w:rPr>
        <w:t xml:space="preserve">Zollverwaltungsgesetz</w:t>
      </w:r>
    </w:p>
    <w:p>
      <w:r>
        <w:rPr>
          <w:color w:val="555555"/>
          <w:sz w:val="18"/>
        </w:rPr>
        <w:t xml:space="preserve">Stand: 01.04.2026 (konsolidierte Textfassung, kein amtliches Inkrafttretensdatum)</w:t>
      </w:r>
    </w:p>
    <w:p>
      <w:r>
        <w:t xml:space="preserve">Ergeben sich bei der zollamtlichen Überwachung zureichende tatsächliche Anhaltspunkte dafür, dass Waren unter Verstoß gegen ein Einfuhr-, Durchfuhr- oder Ausfuhrverbot in den oder aus dem Geltungsbereich dieses Gesetzes verbracht werden, und werden diese Anhaltspunkte durch Nachprüfung nicht entkräftet, so werden die Waren und die dazugehörigen Verwaltungsvorgänge vorbehaltlich anderweitiger gesetzlicher Regelungen der Staatsanwaltschaft oder, wenn nur die Ahndung als Ordnungswidrigkeit in Betracht kommt, der für die Verfolgung und Ahndung zuständigen Verwaltungsbehörde vorgelegt. Für Postsendungen gilt dies nur, wenn zureichende tatsächliche Anhaltspunkte für eine Straftat vorliegen. Das Brief- und Postgeheimnis nach Artikel 10 des Grundgesetzes wird nach Maßgabe der Sätze 1 und 2 eingeschränkt.</w:t>
      </w:r>
    </w:p>
    <w:p>
      <w:r>
        <w:rPr>
          <w:color w:val="555555"/>
          <w:sz w:val="17"/>
        </w:rPr>
        <w:t xml:space="preserve">Zitiervorschlag: § 12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