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ZollVG — Datenübermittlung mit dem Ausland sowie an und von über- oder zwischenstaatlichen Stellen</w:t>
      </w:r>
    </w:p>
    <w:p>
      <w:r>
        <w:rPr>
          <w:color w:val="555555"/>
          <w:sz w:val="18"/>
        </w:rPr>
        <w:t xml:space="preserve">Zollverwaltungsgesetz</w:t>
      </w:r>
    </w:p>
    <w:p>
      <w:r>
        <w:rPr>
          <w:color w:val="555555"/>
          <w:sz w:val="18"/>
        </w:rPr>
        <w:t xml:space="preserve">Stand: 14.03.2026 (konsolidierte Textfassung, kein amtliches Inkrafttretensdatum)</w:t>
      </w:r>
    </w:p>
    <w:p>
      <w:r>
        <w:t xml:space="preserve">(1) Die Dienststellen der Zollverwaltung, die Aufgaben nach § 1 wahrnehmen, können an Zoll-, Polizei-, Justiz- und Verwaltungsbehörden sowie an sonstige für die Verhütung oder Verfolgung von Straftaten zuständige öffentliche Stellen anderer Staaten sowie zwischen- und überstaatliche Stellen, die mit Aufgaben der Verhütung oder Verfolgung von Straftaten befasst sind, personenbezogene Daten übermitteln, soweit dies erforderlich ist</w:t>
      </w:r>
    </w:p>
    <w:p>
      <w:pPr>
        <w:ind w:left="420"/>
      </w:pPr>
      <w:r>
        <w:t xml:space="preserve">1. zur Erfüllung einer ihnen nach diesem Gesetz obliegenden Aufgabe,</w:t>
      </w:r>
    </w:p>
    <w:p>
      <w:pPr>
        <w:ind w:left="420"/>
      </w:pPr>
      <w:r>
        <w:t xml:space="preserve">2. zur Verfolgung von Straftaten und zur Strafvollstreckung nach Maßgabe der Vorschriften über die internationale Rechtshilfe in strafrechtlichen Angelegenheiten oder der Vorschriften über die Zusammenarbeit mit dem Internationalen Strafgerichtshof oder</w:t>
      </w:r>
    </w:p>
    <w:p>
      <w:pPr>
        <w:ind w:left="420"/>
      </w:pPr>
      <w:r>
        <w:t xml:space="preserve">3. zur Abwehr einer im Einzelfall bestehenden erheblichen Gefahr für die öffentliche Sicherheit.</w:t>
      </w:r>
    </w:p>
    <w:p>
      <w:r>
        <w:t xml:space="preserve">Gleiches gilt, wenn Anhaltspunkte dafür vorliegen, dass Straftaten von erheblicher Bedeutung begangen werden sollen.</w:t>
      </w:r>
    </w:p>
    <w:p>
      <w:r>
        <w:t xml:space="preserve">(2) Die in Absatz 1 genannten Dienststellen tragen die Verantwortung für die Zulässigkeit der Übermittlung; sie haben die Übermittlung und ihren Anlass aufzuzeichnen. Der Dritte, an den übermittelt wird, ist darauf hinzuweisen, dass die Daten nur zu dem Zweck genutzt werden dürfen, zu dem sie übermittelt worden sind. Ferner ist ihm der vorgesehene Löschungszeitpunkt mitzuteilen. Die Übermittlung personenbezogener Daten unterbleibt, soweit Grund zu der Annahme besteht, dass durch sie gegen den Zweck eines deutschen Gesetzes verstoßen würde. Die Übermittlung personenbezogener Daten unterbleibt, soweit, auch unter Berücksichtigung des besonderen öffentlichen Interesses an der Datenübermittlung, im Einzelfall schutzwürdige Interessen der betroffenen Person überwiegen. Zu den schutzwürdigen Interessen der betroffenen Person gehört auch das Vorhandensein eines angemessenen Datenschutzniveaus im Empfängerstaat. Die schutzwürdigen Interessen der betroffenen Person können auch dadurch gewahrt werden, dass der Empfängerstaat oder die empfangende zwischen- oder überstaatliche Stelle im Einzelfall einen angemessenen Schutz der übermittelten Daten garantiert.</w:t>
      </w:r>
    </w:p>
    <w:p>
      <w:r>
        <w:t xml:space="preserve">(3) Für den Datenaustausch auf der Grundlage der Richtlinie (EU) 2023/977 gelten für die Verhütung von Straftaten die §§ 117c bis 117k der Abgabenordnung und für die Verfolgung von Straftaten die §§ 92 bis 92h des Gesetzes über die internationale Rechtshilfe in Strafsachen für die in Absatz 1 genannten Dienststellen entsprechend.</w:t>
      </w:r>
    </w:p>
    <w:p>
      <w:r>
        <w:t xml:space="preserve">(4) § 3 Absatz 7 des Zollfahndungsdienstgesetzes ist anzuwenden.</w:t>
      </w:r>
    </w:p>
    <w:p>
      <w:r>
        <w:rPr>
          <w:color w:val="555555"/>
          <w:sz w:val="17"/>
        </w:rPr>
        <w:t xml:space="preserve">Zitiervorschlag: § 11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