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29b ZollV — Mitteilung des Abgabenbetrages mit Mitteln der elektronischen Datenverarbeitung</w:t>
      </w:r>
    </w:p>
    <w:p>
      <w:r>
        <w:rPr>
          <w:color w:val="555555"/>
          <w:sz w:val="18"/>
        </w:rPr>
        <w:t xml:space="preserve">Zollverordnung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buchmäßig erfaßte Einfuhr- oder Ausfuhrabgabenbetrag kann dem Zollschuldner mit Mitteln der elektronischen Datenverarbeitung mitgeteilt werden.</w:t>
      </w:r>
    </w:p>
    <w:p>
      <w:r>
        <w:rPr>
          <w:color w:val="555555"/>
          <w:sz w:val="17"/>
        </w:rPr>
        <w:t xml:space="preserve">Zitiervorschlag: § 29b ZollV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https://recht.nulegal.eu/gesetze/ZollV/29b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