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ZollV — Mündliche Mitteilung des Abgabenbetrages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einer mündlichen Zollanmeldung nach den Artikeln 225, 226 und 229 oder einer Zollanmeldung für im Postverkehr ein- oder ausgeführte Waren nach Artikel 237 der Durchführungsverordnung zum Zollkodex kann der buchmäßig erfaßte Einfuhr- oder Ausfuhrabgabenbetrag dem Zollschuldner mündlich mitgeteilt werden.</w:t>
      </w:r>
    </w:p>
    <w:p>
      <w:r>
        <w:t xml:space="preserve">(2) Einfuhrabgaben, die aufgrund von Zuwiderhandlungen im Reiseverkehr (§ 32 Abs. 1 des Zollverwaltungsgesetzes) buchmäßig erfaßt worden sind, können dem Zollschuldner mündlich mitgeteilt werden. Entsprechendes gilt für Zuschläge nach § 32 Abs. 3 des Zollverwaltungsgesetzes.</w:t>
      </w:r>
    </w:p>
    <w:p>
      <w:r>
        <w:rPr>
          <w:color w:val="555555"/>
          <w:sz w:val="17"/>
        </w:rPr>
        <w:t xml:space="preserve">Zitiervorschlag: § 29a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