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ZollV — Kleinbeträge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Einfuhrabgaben im Sinne des § 1 Absatz 1 des Zollverwaltungsgesetzes werden nicht erhoben und auch nicht buchmäßig erfasst, wenn sie</w:t>
      </w:r>
    </w:p>
    <w:p>
      <w:pPr>
        <w:ind w:left="420"/>
      </w:pPr>
      <w:r>
        <w:t xml:space="preserve">1. bei der Einfuhr von Sendungen mit einem Sachwert von höchstens 150 Euro weniger als 1 Euro betragen,</w:t>
      </w:r>
    </w:p>
    <w:p>
      <w:pPr>
        <w:ind w:left="420"/>
      </w:pPr>
      <w:r>
        <w:t xml:space="preserve">2. im Reiseverkehr weniger als 3 Euro betragen,</w:t>
      </w:r>
    </w:p>
    <w:p>
      <w:pPr>
        <w:ind w:left="420"/>
      </w:pPr>
      <w:r>
        <w:t xml:space="preserve">3. sonst weniger als 5 Euro betragen.</w:t>
      </w:r>
    </w:p>
    <w:p>
      <w:r>
        <w:t xml:space="preserve">(2) Einfuhrabgaben im Sinne des Artikels 4 Nr. 10 des Zollkodex sowie Einfuhrumsatzsteuer werden in den Fällen, in denen jemand wegen einer Ordnungswidrigkeit nach § 30a des Tabaksteuergesetzes vom 21. Dezember 1992 (BGBl. I S. 2150), das zuletzt durch die Verordnung vom 25. November 2002 (BGBl. I S. 4449) geändert worden ist, in der jeweils geltenden Fassung verwarnt worden ist, nicht erhoben und damit auch nicht buchmäßig erfasst, wenn sie jeweils weniger als 10 Euro betragen. § 11 Abs. 4 des Tabaksteuergesetzes bleibt unberührt.</w:t>
      </w:r>
    </w:p>
    <w:p>
      <w:r>
        <w:rPr>
          <w:color w:val="555555"/>
          <w:sz w:val="17"/>
        </w:rPr>
        <w:t xml:space="preserve">Zitiervorschlag: § 23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