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ZollV — Betriebsstoffe für Schienenfahrzeuge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Frei von Einfuhrabgaben im Sinne des Artikels 4 Nr. 10 Zollkodex sind folgende Betriebsstoffe, die in Fahrzeugen im öffentlichen Schienenverkehr aus einem Drittland eingeführt werden und für die unmittelbare Verwendung auf diesen Fahrzeugen bestimmt sind:</w:t>
      </w:r>
    </w:p>
    <w:p>
      <w:pPr>
        <w:ind w:left="420"/>
      </w:pPr>
      <w:r>
        <w:t xml:space="preserve">1. Treibstoffe in den Hauptbehältern,</w:t>
      </w:r>
    </w:p>
    <w:p>
      <w:pPr>
        <w:ind w:left="420"/>
      </w:pPr>
      <w:r>
        <w:t xml:space="preserve">2. Kohlen, Schmierstoffe und andere Heiz- und Betriebsstoffe in der für das einzelne Fahrzeug vorgesehenen Menge.</w:t>
      </w:r>
    </w:p>
    <w:p>
      <w:r>
        <w:rPr>
          <w:color w:val="555555"/>
          <w:sz w:val="17"/>
        </w:rPr>
        <w:t xml:space="preserve">Zitiervorschlag: § 19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