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ZollV — Bordvorräte der Luftfahrzeuge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Frei von Einfuhrabgaben im Sinne des Artikels 4 Nr. 10 Zollkodex sind unter der Voraussetzung der Gegenseitigkeit Lebensmittel und Tabakwaren, die in einem Luftfahrzeug</w:t>
      </w:r>
    </w:p>
    <w:p>
      <w:pPr>
        <w:ind w:left="420"/>
      </w:pPr>
      <w:r>
        <w:t xml:space="preserve">1. als Bordvorräte eingeführt und</w:t>
      </w:r>
    </w:p>
    <w:p>
      <w:pPr>
        <w:ind w:left="420"/>
      </w:pPr>
      <w:r>
        <w:t xml:space="preserve">2. nur zum Verbrauch an Bord während des Fluges abgegeben</w:t>
      </w:r>
    </w:p>
    <w:p>
      <w:r>
        <w:t xml:space="preserve">werden.</w:t>
      </w:r>
    </w:p>
    <w:p>
      <w:r>
        <w:t xml:space="preserve">(2) Die Einfuhrabgabenfreiheit hängt davon ab, daß das Luftfahrzeug Fluggäste nur im internationalen Fluglinienverkehr befördert.</w:t>
      </w:r>
    </w:p>
    <w:p>
      <w:r>
        <w:rPr>
          <w:color w:val="555555"/>
          <w:sz w:val="17"/>
        </w:rPr>
        <w:t xml:space="preserve">Zitiervorschlag: § 16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