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ZollKostV</w:t>
      </w:r>
    </w:p>
    <w:p>
      <w:r>
        <w:rPr>
          <w:color w:val="555555"/>
          <w:sz w:val="18"/>
        </w:rPr>
        <w:t xml:space="preserve">Zollkostenverordnung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178 Absatz 3 der Abgabenordnung in der Fassung der Bekanntmachung vom 1. Oktober 2002 (BGBl. I S. 3866; 2003 I S. 61) und des § 112 Absatz 3 des Branntweinmonopolgesetzes, von denen § 112 des Branntweinmonopolgesetzes durch Artikel 7 des Gesetzes vom 24. Juni 1994 (BGBl. I S. 1395) neu gefasst worden ist, verordnet das Bundesministerium der Finanzen:</w:t>
      </w:r>
    </w:p>
    <w:p>
      <w:r>
        <w:rPr>
          <w:color w:val="555555"/>
          <w:sz w:val="17"/>
        </w:rPr>
        <w:t xml:space="preserve">Zitiervorschlag: Eingangsformel ZollKostV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https://recht.nulegal.eu/gesetze/ZollKostV/eingangsformel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