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ZollKostV — Kostenpflichtige Amtshandlungen im Bereich des gewerblichen Rechtsschutzes</w:t>
      </w:r>
    </w:p>
    <w:p>
      <w:r>
        <w:rPr>
          <w:color w:val="555555"/>
          <w:sz w:val="18"/>
        </w:rPr>
        <w:t xml:space="preserve">Zollkostenverordnung</w:t>
      </w:r>
    </w:p>
    <w:p>
      <w:r>
        <w:rPr>
          <w:color w:val="555555"/>
          <w:sz w:val="18"/>
        </w:rPr>
        <w:t xml:space="preserve">Stand: 02.12.2019 (konsolidierte Textfassung, kein amtliches Inkrafttretensdatum)</w:t>
      </w:r>
    </w:p>
    <w:p>
      <w:r>
        <w:t xml:space="preserve">(1) Für folgende Amtshandlungen werden Kosten nach Maßgabe der Anlage 2 zu dieser Verordnung erhoben:</w:t>
      </w:r>
    </w:p>
    <w:p>
      <w:pPr>
        <w:ind w:left="420"/>
      </w:pPr>
      <w:r>
        <w:t xml:space="preserve">1. für die Aussetzung der Überlassung oder die Zurückhaltung von Waren im Rahmen der Verordnung (EU) Nr. 608/2013 des Europäischen Parlaments und des Rates vom 12. Juni 2013 zur Durchsetzung der Rechte geistigen Eigentums durch die Zollbehörden und zur Aufhebung der Verordnung (EG) Nr. 1383/2003 des Rates (ABl. L 181 vom 29.6.2013, S. 15) in der jeweils geltenden Fassung;</w:t>
      </w:r>
    </w:p>
    <w:p>
      <w:pPr>
        <w:ind w:left="420"/>
      </w:pPr>
      <w:r>
        <w:t xml:space="preserve">2. für die Beschlagnahme von Waren nach</w:t>
      </w:r>
    </w:p>
    <w:p>
      <w:pPr>
        <w:ind w:left="780"/>
      </w:pPr>
      <w:r>
        <w:t xml:space="preserve">a) § 146 des Markengesetzes vom 25. Oktober 1994 (BGBl. I S. 3082; 1995 I S. 156; 1996 I S. 682), das zuletzt durch Artikel 3 des Gesetzes vom 19. Oktober 2013 (BGBl. I S. 3830) geändert worden ist, in der jeweils geltenden Fassung,</w:t>
      </w:r>
    </w:p>
    <w:p>
      <w:pPr>
        <w:ind w:left="780"/>
      </w:pPr>
      <w:r>
        <w:t xml:space="preserve">b) § 111b des Urheberrechtsgesetzes, § 55 des Designgesetzes, § 142a des Patentgesetzes,</w:t>
      </w:r>
    </w:p>
    <w:p>
      <w:pPr>
        <w:ind w:left="780"/>
      </w:pPr>
      <w:r>
        <w:t xml:space="preserve">c) § 25a des Gebrauchsmustergesetzes in der Fassung der Bekanntmachung vom 28. August 1986 (BGBl. I S. 1455), das zuletzt durch Artikel 2 des Gesetzes vom 19. Oktober 2013 (BGBl. I S. 3830) geändert worden ist, in der jeweils geltenden Fassung,</w:t>
      </w:r>
    </w:p>
    <w:p>
      <w:pPr>
        <w:ind w:left="780"/>
      </w:pPr>
      <w:r>
        <w:t xml:space="preserve">d) § 40a des Sortenschutzgesetzes in der Fassung der Bekanntmachung vom 19. Dezember 1997 (BGBl. I S. 3164), das zuletzt durch Artikel 4 Absatz 85 des Gesetzes vom 7. August 2013 (BGBl. I S. 3154) geändert worden ist, in der jeweils geltenden Fassung oder</w:t>
      </w:r>
    </w:p>
    <w:p>
      <w:pPr>
        <w:ind w:left="780"/>
      </w:pPr>
      <w:r>
        <w:t xml:space="preserve">e) § 9 Absatz 2 des Halbleiterschutzgesetzes vom 22. Oktober 1987 (BGBl. I S. 2294), das zuletzt durch Artikel 5 des Gesetzes vom 19. Oktober 2013 (BGBl. I S. 3830) geändert worden ist, in der jeweils geltenden Fassung sowie</w:t>
      </w:r>
    </w:p>
    <w:p>
      <w:pPr>
        <w:ind w:left="420"/>
      </w:pPr>
      <w:r>
        <w:t xml:space="preserve">3. für die Lagerung und Vernichtung der nach Nummer 1 oder nach Nummer 2 betroffenen Waren.</w:t>
      </w:r>
    </w:p>
    <w:p>
      <w:r>
        <w:t xml:space="preserve">(2) Werden Dritte durch die Zollverwaltung mit der Durchführung von Maßnahmen nach Absatz 1 Nummer 3 beauftragt und stehen die der Zollverwaltung hierdurch entstandenen Aufwendungen in grobem Missverhältnis zu den jeweiligen Gebühren nach der Anlage 2, können anstelle dieser Gebühren die tatsächlich entstandenen Aufwendungen unmittelbar nach Artikel 29 der Verordnung (EU) Nr. 608/2013 festgesetzt sowie die Gebühren nach den §§ 3 und 4 Absatz 4 erhoben werden.</w:t>
      </w:r>
    </w:p>
    <w:p>
      <w:r>
        <w:t xml:space="preserve">(3) Bei Anwendung des Verfahrens nach Artikel 26 der Verordnung (EU) Nr. 608/2013 werden ausschließlich Gebühren für eine Kleinsendung nach Nummer 2 der Anlage 2 zu dieser Verordnung erhoben.</w:t>
      </w:r>
    </w:p>
    <w:p>
      <w:r>
        <w:rPr>
          <w:color w:val="555555"/>
          <w:sz w:val="17"/>
        </w:rPr>
        <w:t xml:space="preserve">Zitiervorschlag: § 9 ZollKostV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https://recht.nulegal.eu/gesetze/ZollKostV/9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