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ZollKostV — Regelungsgegenstand</w:t>
      </w:r>
    </w:p>
    <w:p>
      <w:r>
        <w:rPr>
          <w:color w:val="555555"/>
          <w:sz w:val="18"/>
        </w:rPr>
        <w:t xml:space="preserve">Zollkostenverordnung</w:t>
      </w:r>
    </w:p>
    <w:p>
      <w:r>
        <w:rPr>
          <w:color w:val="555555"/>
          <w:sz w:val="18"/>
        </w:rPr>
        <w:t xml:space="preserve">Stand: 02.12.2019 (konsolidierte Textfassung, kein amtliches Inkrafttretensdatum)</w:t>
      </w:r>
    </w:p>
    <w:p>
      <w:r>
        <w:t xml:space="preserve">Von den Behörden der Bundeszollverwaltung und den Behörden, denen die Wahrnehmung von Aufgaben der Bundeszollverwaltung übertragen worden ist, werden nach Maßgabe dieser Verordnung Kosten (Gebühren und Auslagen) erhoben.</w:t>
      </w:r>
    </w:p>
    <w:p>
      <w:r>
        <w:rPr>
          <w:color w:val="555555"/>
          <w:sz w:val="17"/>
        </w:rPr>
        <w:t xml:space="preserve">Zitiervorschlag: § 1 ZollKostV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https://recht.nulegal.eu/gesetze/ZollKostV/1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