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ZirkRegV</w:t>
      </w:r>
    </w:p>
    <w:p>
      <w:r>
        <w:rPr>
          <w:color w:val="555555"/>
          <w:sz w:val="18"/>
        </w:rPr>
        <w:t xml:space="preserve">Zirkusregisterverordnung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Ernährung, Landwirtschaft und Verbraucherschutz verordnet auf Grund des § 16 Abs. 6 Satz 2 und 3 in Verbindung mit § 16b Abs. 1 Satz 2 des Tierschutzgesetzes in der Fassung der Bekanntmachung vom 18. Mai 2006 (BGBl. I S. 1206, 1313), von denen § 16 Abs. 6 Satz 2 und 3 durch das Gesetz vom 18. Dezember 2007 (BGBl. I S. 3001, 2008 I S. 47) neugefasst worden ist, nach Anhörung der Tierschutzkommission:</w:t>
      </w:r>
    </w:p>
    <w:p>
      <w:r>
        <w:rPr>
          <w:color w:val="555555"/>
          <w:sz w:val="17"/>
        </w:rPr>
        <w:t xml:space="preserve">Zitiervorschlag: Eingangsformel ZirkRegV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https://recht.nulegal.eu/gesetze/ZirkRegV/eingangsformel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