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ZirkRegV — Begriffsbestimmungen</w:t>
      </w:r>
    </w:p>
    <w:p>
      <w:r>
        <w:rPr>
          <w:color w:val="555555"/>
          <w:sz w:val="18"/>
        </w:rPr>
        <w:t xml:space="preserve">Zirkusregisterverordnung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erteilende Behörde: die für die Erteilung der Erlaubnis nach § 11 Absatz 1 Satz 1 Nummer 8 Buchstabe d des Tierschutzgesetzes zuständige Behörde;</w:t>
      </w:r>
    </w:p>
    <w:p>
      <w:pPr>
        <w:ind w:left="420"/>
      </w:pPr>
      <w:r>
        <w:t xml:space="preserve">2. kontrollierende Behörde: die für die Kontrolle nach § 16 Abs. 1 Nr. 4 des Tierschutzgesetzes zuständige Behörde.</w:t>
      </w:r>
    </w:p>
    <w:p>
      <w:r>
        <w:rPr>
          <w:color w:val="555555"/>
          <w:sz w:val="17"/>
        </w:rPr>
        <w:t xml:space="preserve">Zitiervorschlag: § 2 ZirkRegV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https://recht.nulegal.eu/gesetze/ZirkRegV/2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