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ZinnRVorRV</w:t>
      </w:r>
    </w:p>
    <w:p>
      <w:r>
        <w:rPr>
          <w:color w:val="555555"/>
          <w:sz w:val="18"/>
        </w:rPr>
        <w:t xml:space="preserve">Verordnung über die Gewährung von Vorrechten und Immunitäten an den Internationalen Zinnrat nach dem Fünften Internationalen Zinn-Übereinkommen vom 21. Juni 1975</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zuletzt geändert durch das Gesetz vom 28. Februar 1964 (Bundesgesetzbl. II S. 187), verordnet die Bundesregierung mit Zustimmung des Bundesrates:</w:t>
      </w:r>
    </w:p>
    <w:p>
      <w:r>
        <w:rPr>
          <w:color w:val="555555"/>
          <w:sz w:val="17"/>
        </w:rPr>
        <w:t xml:space="preserve">Zitiervorschlag: Eingangsformel ZinnRVorRV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https://recht.nulegal.eu/gesetze/ZinnRVorRV/eingangsformel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